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framePr w:h="1531" w:hRule="exact"/>
        <w:rPr>
          <w:rFonts w:hint="eastAsia"/>
        </w:rPr>
      </w:pPr>
      <w:bookmarkStart w:id="0" w:name="_Toc92978035"/>
      <w:r>
        <w:rPr>
          <w:rFonts w:hint="eastAsia"/>
        </w:rPr>
        <w:t>江苏省地方标准</w:t>
      </w:r>
    </w:p>
    <w:p>
      <w:pPr>
        <w:pStyle w:val="30"/>
        <w:framePr w:h="1531" w:hRule="exact"/>
        <w:wordWrap w:val="0"/>
        <w:jc w:val="right"/>
        <w:rPr>
          <w:rFonts w:hint="eastAsia"/>
        </w:rPr>
      </w:pPr>
      <w:bookmarkStart w:id="1" w:name="_Hlk181632079"/>
      <w:r>
        <w:rPr>
          <w:rFonts w:hint="eastAsia"/>
        </w:rPr>
        <w:t xml:space="preserve">DB32/T </w:t>
      </w:r>
      <w:r>
        <w:rPr>
          <w:rFonts w:hint="eastAsia"/>
          <w:shd w:val="pct10" w:color="auto" w:fill="FFFFFF"/>
        </w:rPr>
        <w:t>XXXX-202X</w:t>
      </w:r>
    </w:p>
    <w:bookmarkEnd w:id="1"/>
    <w:p>
      <w:pPr>
        <w:spacing w:after="0" w:line="240" w:lineRule="auto"/>
        <w:rPr>
          <w:shd w:val="pct10" w:color="auto" w:fill="FFFFFF"/>
        </w:rPr>
      </w:pPr>
      <w:bookmarkStart w:id="2" w:name="_Hlk181632132"/>
      <w:r>
        <w:rPr>
          <w:rFonts w:hint="eastAsia"/>
        </w:rPr>
        <w:t>ISC</w:t>
      </w:r>
      <w:r>
        <w:rPr>
          <w:rFonts w:hint="eastAsia"/>
          <w:shd w:val="pct10" w:color="auto" w:fill="FFFFFF"/>
        </w:rPr>
        <w:t xml:space="preserve">     </w:t>
      </w:r>
    </w:p>
    <w:p>
      <w:pPr>
        <w:spacing w:after="0" w:line="240" w:lineRule="auto"/>
        <w:rPr>
          <w:shd w:val="pct10" w:color="auto" w:fill="FFFFFF"/>
        </w:rPr>
      </w:pPr>
      <w:r>
        <w:rPr>
          <w:rFonts w:hint="eastAsia"/>
          <w:shd w:val="pct10" w:color="auto" w:fill="FFFFFF"/>
        </w:rPr>
        <w:t xml:space="preserve">      </w:t>
      </w:r>
    </w:p>
    <w:bookmarkEnd w:id="2"/>
    <w:p>
      <w:pPr>
        <w:pStyle w:val="33"/>
        <w:framePr w:h="9646" w:hRule="exact"/>
        <w:spacing w:before="78" w:after="78"/>
        <w:rPr>
          <w:rFonts w:ascii="Times New Roman"/>
          <w:sz w:val="44"/>
          <w:szCs w:val="44"/>
        </w:rPr>
      </w:pPr>
      <w:r>
        <w:rPr>
          <w:rFonts w:hint="eastAsia" w:ascii="Times New Roman"/>
          <w:sz w:val="44"/>
          <w:szCs w:val="44"/>
        </w:rPr>
        <w:t>长江江苏段水上吊艄作业条件及要求</w:t>
      </w:r>
    </w:p>
    <w:p>
      <w:pPr>
        <w:pStyle w:val="31"/>
        <w:framePr w:h="9646" w:hRule="exact"/>
        <w:snapToGrid w:val="0"/>
        <w:spacing w:line="240" w:lineRule="auto"/>
        <w:rPr>
          <w:rFonts w:ascii="Times New Roman" w:eastAsia="黑体"/>
        </w:rPr>
      </w:pPr>
      <w:r>
        <w:rPr>
          <w:rFonts w:ascii="Times New Roman" w:eastAsia="黑体"/>
        </w:rPr>
        <w:t xml:space="preserve">Operating conditions and requirements for water cranes in the Jiangsu section of </w:t>
      </w:r>
    </w:p>
    <w:p>
      <w:pPr>
        <w:pStyle w:val="31"/>
        <w:framePr w:h="9646" w:hRule="exact"/>
        <w:spacing w:before="0" w:line="240" w:lineRule="auto"/>
      </w:pPr>
      <w:r>
        <w:rPr>
          <w:rFonts w:ascii="Times New Roman" w:eastAsia="黑体"/>
        </w:rPr>
        <w:t>the Yangtze River</w:t>
      </w:r>
    </w:p>
    <w:tbl>
      <w:tblPr>
        <w:tblStyle w:val="11"/>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31"/>
              <w:framePr w:h="9646" w:hRule="exact"/>
            </w:pPr>
            <w:r>
              <w:fldChar w:fldCharType="begin"/>
            </w:r>
            <w:bookmarkStart w:id="3" w:name="LB"/>
            <w:r>
              <w:instrText xml:space="preserve"> FORMDROPDOWN </w:instrText>
            </w:r>
            <w:r>
              <w:fldChar w:fldCharType="separate"/>
            </w:r>
            <w:r>
              <w:fldChar w:fldCharType="end"/>
            </w:r>
            <w:bookmarkEnd w:id="3"/>
            <w:r>
              <w:rPr>
                <w:rFonts w:hint="eastAsia"/>
              </w:rPr>
              <w:t>（草案）</w:t>
            </w:r>
          </w:p>
          <w:p>
            <w:pPr>
              <w:pStyle w:val="34"/>
              <w:framePr w:h="9646" w:hRule="exact"/>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tcPr>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pPr>
          </w:p>
          <w:p>
            <w:pPr>
              <w:pStyle w:val="35"/>
              <w:framePr w:h="9646" w:hRule="exact"/>
              <w:spacing w:line="240" w:lineRule="auto"/>
              <w:jc w:val="both"/>
              <w:rPr>
                <w:sz w:val="24"/>
                <w:szCs w:val="36"/>
              </w:rPr>
            </w:pPr>
            <w:r>
              <w:rPr>
                <w:rFonts w:hint="eastAsia"/>
                <w:sz w:val="24"/>
                <w:szCs w:val="36"/>
                <w:shd w:val="pct10" w:color="auto" w:fill="FFFFFF"/>
              </w:rPr>
              <w:t>202X-XX-XX发布</w:t>
            </w:r>
            <w:r>
              <w:rPr>
                <w:rFonts w:hint="eastAsia"/>
                <w:sz w:val="24"/>
                <w:szCs w:val="36"/>
              </w:rPr>
              <w:t xml:space="preserve">              </w:t>
            </w:r>
            <w:bookmarkStart w:id="34" w:name="_GoBack"/>
            <w:bookmarkEnd w:id="34"/>
            <w:r>
              <w:rPr>
                <w:rFonts w:hint="eastAsia"/>
                <w:sz w:val="24"/>
                <w:szCs w:val="36"/>
              </w:rPr>
              <w:t xml:space="preserve">                                  </w:t>
            </w:r>
            <w:r>
              <w:rPr>
                <w:rFonts w:hint="eastAsia"/>
                <w:sz w:val="24"/>
                <w:szCs w:val="36"/>
                <w:shd w:val="pct10" w:color="auto" w:fill="FFFFFF"/>
              </w:rPr>
              <w:t>202X-XX-XX实施</w:t>
            </w:r>
            <w:r>
              <w:rPr>
                <w:sz w:val="24"/>
                <w:szCs w:val="36"/>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16510</wp:posOffset>
                      </wp:positionV>
                      <wp:extent cx="6120130" cy="0"/>
                      <wp:effectExtent l="13970" t="13970" r="9525" b="5080"/>
                      <wp:wrapNone/>
                      <wp:docPr id="1118362698" name="直接连接符 1"/>
                      <wp:cNvGraphicFramePr/>
                      <a:graphic xmlns:a="http://schemas.openxmlformats.org/drawingml/2006/main">
                        <a:graphicData uri="http://schemas.microsoft.com/office/word/2010/wordprocessingShape">
                          <wps:wsp>
                            <wps:cNvCnPr>
                              <a:cxnSpLocks noChangeShapeType="true"/>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直接连接符 1" o:spid="_x0000_s1026" o:spt="20" style="position:absolute;left:0pt;margin-left:0pt;margin-top:1.3pt;height:0pt;width:481.9pt;z-index:251663360;mso-width-relative:page;mso-height-relative:page;" filled="f" stroked="t" coordsize="21600,21600" o:gfxdata="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FgAAAGRycy9QSwECFAAUAAAACACHTuJAmXrf&#10;j9IAAAAEAQAADwAAAAAAAAABACAAAAA4AAAAZHJzL2Rvd25yZXYueG1sUEsBAhQAFAAAAAgAh07i&#10;QKFt8hzZAQAAcwMAAA4AAAAAAAAAAQAgAAAANwEAAGRycy9lMm9Eb2MueG1sUEsFBgAAAAAGAAYA&#10;WQEAAIIFAAAAAA==&#10;">
                      <v:fill on="f" focussize="0,0"/>
                      <v:stroke color="#000000" joinstyle="round"/>
                      <v:imagedata o:title=""/>
                      <o:lock v:ext="edit" aspectratio="f"/>
                    </v:line>
                  </w:pict>
                </mc:Fallback>
              </mc:AlternateContent>
            </w:r>
          </w:p>
          <w:p>
            <w:pPr>
              <w:pStyle w:val="35"/>
              <w:framePr w:h="9646" w:hRule="exact"/>
              <w:spacing w:before="0" w:after="0" w:line="360" w:lineRule="auto"/>
              <w:rPr>
                <w:b/>
                <w:bCs/>
                <w:sz w:val="24"/>
                <w:szCs w:val="36"/>
              </w:rPr>
            </w:pPr>
            <w:r>
              <w:rPr>
                <w:rFonts w:hint="eastAsia"/>
                <w:b/>
                <w:bCs/>
                <w:sz w:val="24"/>
                <w:szCs w:val="36"/>
              </w:rPr>
              <w:t>江苏省市场监督管理局    发  布</w:t>
            </w:r>
          </w:p>
          <w:p>
            <w:pPr>
              <w:pStyle w:val="35"/>
              <w:framePr w:h="9646" w:hRule="exact"/>
              <w:spacing w:before="0" w:after="0" w:line="360" w:lineRule="auto"/>
              <w:rPr>
                <w:b/>
                <w:bCs/>
                <w:sz w:val="24"/>
                <w:szCs w:val="36"/>
              </w:rPr>
            </w:pPr>
            <w:r>
              <w:rPr>
                <w:rFonts w:hint="eastAsia"/>
                <w:b/>
                <w:bCs/>
                <w:sz w:val="24"/>
                <w:szCs w:val="36"/>
              </w:rPr>
              <w:t>中 国 标 准 出 版 社    出  版</w:t>
            </w:r>
          </w:p>
          <w:p>
            <w:pPr>
              <w:pStyle w:val="35"/>
              <w:framePr w:h="9646" w:hRule="exact"/>
            </w:pPr>
          </w:p>
          <w:p>
            <w:pPr>
              <w:pStyle w:val="35"/>
              <w:framePr w:h="9646" w:hRule="exact"/>
            </w:pPr>
          </w:p>
          <w:p>
            <w:pPr>
              <w:pStyle w:val="35"/>
              <w:framePr w:h="9646" w:hRule="exact"/>
            </w:pPr>
          </w:p>
          <w:p>
            <w:pPr>
              <w:pStyle w:val="35"/>
              <w:framePr w:h="9646" w:hRule="exact"/>
            </w:pPr>
            <w:r>
              <w:rPr>
                <w:rFonts w:hint="eastAsia"/>
              </w:rPr>
              <w:t>202X</w:t>
            </w:r>
          </w:p>
        </w:tc>
      </w:tr>
    </w:tbl>
    <w:p>
      <w:pPr>
        <w:pStyle w:val="17"/>
        <w:sectPr>
          <w:headerReference r:id="rId5" w:type="default"/>
          <w:pgSz w:w="11906" w:h="16838"/>
          <w:pgMar w:top="567" w:right="850" w:bottom="1134" w:left="1418" w:header="0" w:footer="0" w:gutter="0"/>
          <w:pgNumType w:start="1"/>
          <w:cols w:space="720" w:num="1"/>
          <w:formProt w:val="0"/>
          <w:docGrid w:type="lines" w:linePitch="312" w:charSpace="0"/>
        </w:sectPr>
      </w:pPr>
      <w:r>
        <w:rPr>
          <w:color w:val="000000"/>
        </w:rPr>
        <mc:AlternateContent>
          <mc:Choice Requires="wps">
            <w:drawing>
              <wp:anchor distT="0" distB="0" distL="114300" distR="114300" simplePos="0" relativeHeight="251665408" behindDoc="0" locked="1" layoutInCell="1" allowOverlap="1">
                <wp:simplePos x="0" y="0"/>
                <wp:positionH relativeFrom="margin">
                  <wp:posOffset>3109595</wp:posOffset>
                </wp:positionH>
                <wp:positionV relativeFrom="margin">
                  <wp:posOffset>130175</wp:posOffset>
                </wp:positionV>
                <wp:extent cx="2540000" cy="657860"/>
                <wp:effectExtent l="4445" t="4445" r="0" b="4445"/>
                <wp:wrapNone/>
                <wp:docPr id="1049446646" name="fmFrame1"/>
                <wp:cNvGraphicFramePr/>
                <a:graphic xmlns:a="http://schemas.openxmlformats.org/drawingml/2006/main">
                  <a:graphicData uri="http://schemas.microsoft.com/office/word/2010/wordprocessingShape">
                    <wps:wsp>
                      <wps:cNvSpPr txBox="true">
                        <a:spLocks noChangeArrowheads="true"/>
                      </wps:cNvSpPr>
                      <wps:spPr bwMode="auto">
                        <a:xfrm>
                          <a:off x="0" y="0"/>
                          <a:ext cx="2540000" cy="657860"/>
                        </a:xfrm>
                        <a:prstGeom prst="rect">
                          <a:avLst/>
                        </a:prstGeom>
                        <a:solidFill>
                          <a:srgbClr val="FFFFFF"/>
                        </a:solidFill>
                        <a:ln>
                          <a:noFill/>
                        </a:ln>
                      </wps:spPr>
                      <wps:txbx>
                        <w:txbxContent>
                          <w:p>
                            <w:pPr>
                              <w:jc w:val="right"/>
                              <w:rPr>
                                <w:rFonts w:hint="eastAsia" w:ascii="黑体" w:hAnsi="黑体" w:eastAsia="黑体" w:cs="黑体"/>
                                <w:sz w:val="84"/>
                                <w:szCs w:val="84"/>
                              </w:rPr>
                            </w:pPr>
                            <w:r>
                              <w:rPr>
                                <w:rFonts w:eastAsia="黑体"/>
                                <w:b/>
                                <w:bCs/>
                                <w:sz w:val="84"/>
                                <w:szCs w:val="84"/>
                              </w:rPr>
                              <w:t>DB</w:t>
                            </w:r>
                            <w:r>
                              <w:rPr>
                                <w:rFonts w:hint="eastAsia" w:eastAsia="黑体"/>
                                <w:b/>
                                <w:bCs/>
                                <w:sz w:val="84"/>
                                <w:szCs w:val="84"/>
                              </w:rPr>
                              <w:t>32</w:t>
                            </w:r>
                          </w:p>
                        </w:txbxContent>
                      </wps:txbx>
                      <wps:bodyPr rot="0" vert="horz" wrap="square" lIns="0" tIns="0" rIns="0" bIns="0" anchor="t" anchorCtr="false" upright="true">
                        <a:noAutofit/>
                      </wps:bodyPr>
                    </wps:wsp>
                  </a:graphicData>
                </a:graphic>
              </wp:anchor>
            </w:drawing>
          </mc:Choice>
          <mc:Fallback>
            <w:pict>
              <v:shape id="fmFrame1" o:spid="_x0000_s1026" o:spt="202" type="#_x0000_t202" style="position:absolute;left:0pt;margin-left:244.85pt;margin-top:10.25pt;height:51.8pt;width:200pt;mso-position-horizontal-relative:margin;mso-position-vertical-relative:margin;z-index:251665408;mso-width-relative:page;mso-height-relative:page;" fillcolor="#FFFFFF" filled="t" stroked="f" coordsize="21600,21600" o:gfxdata="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KrI+dHYAAAACgEA&#10;AA8AAAAAAAAAAQAgAAAAOAAAAGRycy9kb3ducmV2LnhtbFBLAQIUABQAAAAIAIdO4kDnutuXBAIA&#10;APMDAAAOAAAAAAAAAAEAIAAAAD0BAABkcnMvZTJvRG9jLnhtbFBLBQYAAAAABgAGAFkBAACzBQAA&#10;AAA=&#10;">
                <v:fill on="t" focussize="0,0"/>
                <v:stroke on="f"/>
                <v:imagedata o:title=""/>
                <o:lock v:ext="edit" aspectratio="f"/>
                <v:textbox inset="0mm,0mm,0mm,0mm">
                  <w:txbxContent>
                    <w:p>
                      <w:pPr>
                        <w:jc w:val="right"/>
                        <w:rPr>
                          <w:rFonts w:hint="eastAsia" w:ascii="黑体" w:hAnsi="黑体" w:eastAsia="黑体" w:cs="黑体"/>
                          <w:sz w:val="84"/>
                          <w:szCs w:val="84"/>
                        </w:rPr>
                      </w:pPr>
                      <w:r>
                        <w:rPr>
                          <w:rFonts w:eastAsia="黑体"/>
                          <w:b/>
                          <w:bCs/>
                          <w:sz w:val="84"/>
                          <w:szCs w:val="84"/>
                        </w:rPr>
                        <w:t>DB</w:t>
                      </w:r>
                      <w:r>
                        <w:rPr>
                          <w:rFonts w:hint="eastAsia" w:eastAsia="黑体"/>
                          <w:b/>
                          <w:bCs/>
                          <w:sz w:val="84"/>
                          <w:szCs w:val="84"/>
                        </w:rPr>
                        <w:t>32</w:t>
                      </w:r>
                    </w:p>
                  </w:txbxContent>
                </v:textbox>
                <w10:anchorlock/>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555295384" name="直接连接符 1"/>
                <wp:cNvGraphicFramePr/>
                <a:graphic xmlns:a="http://schemas.openxmlformats.org/drawingml/2006/main">
                  <a:graphicData uri="http://schemas.microsoft.com/office/word/2010/wordprocessingShape">
                    <wps:wsp>
                      <wps:cNvCnPr>
                        <a:cxnSpLocks noChangeShapeType="true"/>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直接连接符 1" o:spid="_x0000_s1026" o:spt="20" style="position:absolute;left:0pt;margin-left:-0.05pt;margin-top:184.25pt;height:0pt;width:481.9pt;z-index:251658240;mso-width-relative:page;mso-height-relative:page;" filled="f" stroked="t" coordsize="21600,21600" o:gfxdata="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CQeJf1wAAAAkBAAAPAAAAAAAAAAEAIAAAADgAAABkcnMvZG93bnJldi54bWxQSwECFAAUAAAA&#10;CACHTuJAtf3Hq9kBAABzAwAADgAAAAAAAAABACAAAAA8AQAAZHJzL2Uyb0RvYy54bWxQSwUGAAAA&#10;AAYABgBZAQAAhwUAAAAA&#10;">
                <v:fill on="f" focussize="0,0"/>
                <v:stroke color="#000000" joinstyle="round"/>
                <v:imagedata o:title=""/>
                <o:lock v:ext="edit" aspectratio="f"/>
              </v:line>
            </w:pict>
          </mc:Fallback>
        </mc:AlternateContent>
      </w:r>
    </w:p>
    <w:p>
      <w:pPr>
        <w:pStyle w:val="21"/>
        <w:rPr>
          <w:rFonts w:ascii="Times New Roman"/>
        </w:rPr>
      </w:pPr>
      <w:bookmarkStart w:id="4" w:name="_Toc181612601"/>
      <w:bookmarkStart w:id="5" w:name="_Toc181612710"/>
      <w:bookmarkStart w:id="6" w:name="_Toc181632228"/>
      <w:bookmarkStart w:id="7" w:name="_Toc181632362"/>
      <w:bookmarkStart w:id="8" w:name="_Toc181632380"/>
      <w:r>
        <w:rPr>
          <w:rFonts w:hint="eastAsia" w:ascii="Times New Roman"/>
        </w:rPr>
        <w:t>目</w:t>
      </w:r>
      <w:bookmarkEnd w:id="4"/>
      <w:r>
        <w:rPr>
          <w:rFonts w:hint="eastAsia" w:ascii="Times New Roman"/>
        </w:rPr>
        <w:t>次</w:t>
      </w:r>
      <w:bookmarkEnd w:id="5"/>
      <w:bookmarkEnd w:id="6"/>
      <w:bookmarkEnd w:id="7"/>
      <w:bookmarkEnd w:id="8"/>
    </w:p>
    <w:p>
      <w:pPr>
        <w:pStyle w:val="8"/>
        <w:tabs>
          <w:tab w:val="right" w:leader="dot" w:pos="8296"/>
        </w:tabs>
        <w:rPr>
          <w:rFonts w:asciiTheme="minorHAnsi" w:hAnsiTheme="minorHAnsi" w:eastAsiaTheme="minorEastAsia" w:cstheme="minorBidi"/>
          <w:szCs w:val="21"/>
          <w14:ligatures w14:val="standardContextual"/>
        </w:rPr>
      </w:pPr>
      <w:r>
        <w:rPr>
          <w:rFonts w:asciiTheme="minorEastAsia" w:hAnsiTheme="minorEastAsia" w:eastAsiaTheme="minorEastAsia"/>
          <w:szCs w:val="21"/>
        </w:rPr>
        <w:fldChar w:fldCharType="begin"/>
      </w:r>
      <w:r>
        <w:rPr>
          <w:rFonts w:asciiTheme="minorEastAsia" w:hAnsiTheme="minorEastAsia" w:eastAsiaTheme="minorEastAsia"/>
          <w:szCs w:val="21"/>
        </w:rPr>
        <w:instrText xml:space="preserve"> TOC \o "1-2" \h \z \u </w:instrText>
      </w:r>
      <w:r>
        <w:rPr>
          <w:rFonts w:asciiTheme="minorEastAsia" w:hAnsiTheme="minorEastAsia" w:eastAsiaTheme="minorEastAsia"/>
          <w:szCs w:val="21"/>
        </w:rPr>
        <w:fldChar w:fldCharType="separate"/>
      </w:r>
      <w:r>
        <w:fldChar w:fldCharType="begin"/>
      </w:r>
      <w:r>
        <w:instrText xml:space="preserve"> HYPERLINK \l "_Toc181632381" </w:instrText>
      </w:r>
      <w:r>
        <w:fldChar w:fldCharType="separate"/>
      </w:r>
      <w:r>
        <w:rPr>
          <w:rStyle w:val="13"/>
          <w:rFonts w:hint="eastAsia"/>
          <w:szCs w:val="21"/>
        </w:rPr>
        <w:t>前言</w:t>
      </w:r>
      <w:r>
        <w:rPr>
          <w:rFonts w:hint="eastAsia"/>
          <w:szCs w:val="21"/>
        </w:rPr>
        <w:tab/>
      </w:r>
      <w:r>
        <w:rPr>
          <w:rFonts w:hint="eastAsia"/>
          <w:szCs w:val="21"/>
        </w:rPr>
        <w:fldChar w:fldCharType="begin"/>
      </w:r>
      <w:r>
        <w:rPr>
          <w:rFonts w:hint="eastAsia"/>
          <w:szCs w:val="21"/>
        </w:rPr>
        <w:instrText xml:space="preserve"> </w:instrText>
      </w:r>
      <w:r>
        <w:rPr>
          <w:szCs w:val="21"/>
        </w:rPr>
        <w:instrText xml:space="preserve">PAGEREF _Toc181632381 \h</w:instrText>
      </w:r>
      <w:r>
        <w:rPr>
          <w:rFonts w:hint="eastAsia"/>
          <w:szCs w:val="21"/>
        </w:rPr>
        <w:instrText xml:space="preserve"> </w:instrText>
      </w:r>
      <w:r>
        <w:rPr>
          <w:rFonts w:hint="eastAsia"/>
          <w:szCs w:val="21"/>
        </w:rPr>
        <w:fldChar w:fldCharType="separate"/>
      </w:r>
      <w:r>
        <w:rPr>
          <w:szCs w:val="21"/>
        </w:rPr>
        <w:t>II</w:t>
      </w:r>
      <w:r>
        <w:rPr>
          <w:rFonts w:hint="eastAsia"/>
          <w:szCs w:val="21"/>
        </w:rPr>
        <w:fldChar w:fldCharType="end"/>
      </w:r>
      <w:r>
        <w:rPr>
          <w:rFonts w:hint="eastAsia"/>
          <w:szCs w:val="21"/>
        </w:rPr>
        <w:fldChar w:fldCharType="end"/>
      </w:r>
    </w:p>
    <w:p>
      <w:pPr>
        <w:pStyle w:val="9"/>
        <w:rPr>
          <w:rFonts w:cstheme="minorBidi"/>
          <w:kern w:val="2"/>
          <w14:ligatures w14:val="standardContextual"/>
        </w:rPr>
      </w:pPr>
      <w:r>
        <w:fldChar w:fldCharType="begin"/>
      </w:r>
      <w:r>
        <w:instrText xml:space="preserve"> HYPERLINK \l "_Toc181632383" </w:instrText>
      </w:r>
      <w:r>
        <w:fldChar w:fldCharType="separate"/>
      </w:r>
      <w:r>
        <w:rPr>
          <w:rStyle w:val="13"/>
          <w:rFonts w:hint="eastAsia"/>
          <w:sz w:val="21"/>
          <w:szCs w:val="21"/>
        </w:rPr>
        <w:t>1</w:t>
      </w:r>
      <w:r>
        <w:rPr>
          <w:rStyle w:val="13"/>
          <w:rFonts w:hint="eastAsia" w:ascii="Times New Roman"/>
          <w:sz w:val="21"/>
          <w:szCs w:val="21"/>
        </w:rPr>
        <w:t xml:space="preserve"> 范围</w:t>
      </w:r>
      <w:r>
        <w:rPr>
          <w:rFonts w:hint="eastAsia"/>
        </w:rPr>
        <w:tab/>
      </w:r>
      <w:r>
        <w:rPr>
          <w:rFonts w:hint="eastAsia"/>
        </w:rPr>
        <w:fldChar w:fldCharType="begin"/>
      </w:r>
      <w:r>
        <w:rPr>
          <w:rFonts w:hint="eastAsia"/>
        </w:rPr>
        <w:instrText xml:space="preserve"> </w:instrText>
      </w:r>
      <w:r>
        <w:instrText xml:space="preserve">PAGEREF _Toc181632383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9"/>
        <w:rPr>
          <w:rFonts w:cstheme="minorBidi"/>
          <w:kern w:val="2"/>
          <w14:ligatures w14:val="standardContextual"/>
        </w:rPr>
      </w:pPr>
      <w:r>
        <w:fldChar w:fldCharType="begin"/>
      </w:r>
      <w:r>
        <w:instrText xml:space="preserve"> HYPERLINK \l "_Toc181632384" </w:instrText>
      </w:r>
      <w:r>
        <w:fldChar w:fldCharType="separate"/>
      </w:r>
      <w:r>
        <w:rPr>
          <w:rStyle w:val="13"/>
          <w:rFonts w:hint="eastAsia"/>
          <w:sz w:val="21"/>
          <w:szCs w:val="21"/>
        </w:rPr>
        <w:t>2</w:t>
      </w:r>
      <w:r>
        <w:rPr>
          <w:rStyle w:val="13"/>
          <w:rFonts w:hint="eastAsia" w:ascii="Times New Roman"/>
          <w:sz w:val="21"/>
          <w:szCs w:val="21"/>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_Toc181632384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9"/>
        <w:rPr>
          <w:rFonts w:cstheme="minorBidi"/>
          <w:kern w:val="2"/>
          <w14:ligatures w14:val="standardContextual"/>
        </w:rPr>
      </w:pPr>
      <w:r>
        <w:fldChar w:fldCharType="begin"/>
      </w:r>
      <w:r>
        <w:instrText xml:space="preserve"> HYPERLINK \l "_Toc181632385" </w:instrText>
      </w:r>
      <w:r>
        <w:fldChar w:fldCharType="separate"/>
      </w:r>
      <w:r>
        <w:rPr>
          <w:rStyle w:val="13"/>
          <w:rFonts w:hint="eastAsia"/>
          <w:sz w:val="21"/>
          <w:szCs w:val="21"/>
        </w:rPr>
        <w:t>3</w:t>
      </w:r>
      <w:r>
        <w:rPr>
          <w:rStyle w:val="13"/>
          <w:rFonts w:hint="eastAsia" w:ascii="Times New Roman"/>
          <w:sz w:val="21"/>
          <w:szCs w:val="21"/>
        </w:rPr>
        <w:t xml:space="preserve"> 术语和定义</w:t>
      </w:r>
      <w:r>
        <w:rPr>
          <w:rFonts w:hint="eastAsia"/>
        </w:rPr>
        <w:tab/>
      </w:r>
      <w:r>
        <w:rPr>
          <w:rFonts w:hint="eastAsia"/>
        </w:rPr>
        <w:fldChar w:fldCharType="begin"/>
      </w:r>
      <w:r>
        <w:rPr>
          <w:rFonts w:hint="eastAsia"/>
        </w:rPr>
        <w:instrText xml:space="preserve"> </w:instrText>
      </w:r>
      <w:r>
        <w:instrText xml:space="preserve">PAGEREF _Toc181632385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9"/>
        <w:rPr>
          <w:rFonts w:cstheme="minorBidi"/>
          <w:kern w:val="2"/>
          <w14:ligatures w14:val="standardContextual"/>
        </w:rPr>
      </w:pPr>
      <w:r>
        <w:fldChar w:fldCharType="begin"/>
      </w:r>
      <w:r>
        <w:instrText xml:space="preserve"> HYPERLINK \l "_Toc181632386" </w:instrText>
      </w:r>
      <w:r>
        <w:fldChar w:fldCharType="separate"/>
      </w:r>
      <w:r>
        <w:rPr>
          <w:rStyle w:val="13"/>
          <w:rFonts w:hint="eastAsia"/>
          <w:sz w:val="21"/>
          <w:szCs w:val="21"/>
        </w:rPr>
        <w:t>4</w:t>
      </w:r>
      <w:r>
        <w:rPr>
          <w:rStyle w:val="13"/>
          <w:rFonts w:hint="eastAsia" w:ascii="Times New Roman"/>
          <w:sz w:val="21"/>
          <w:szCs w:val="21"/>
        </w:rPr>
        <w:t xml:space="preserve"> 作业条件</w:t>
      </w:r>
      <w:r>
        <w:rPr>
          <w:rFonts w:hint="eastAsia"/>
        </w:rPr>
        <w:tab/>
      </w:r>
      <w:r>
        <w:rPr>
          <w:rFonts w:hint="eastAsia"/>
        </w:rPr>
        <w:fldChar w:fldCharType="begin"/>
      </w:r>
      <w:r>
        <w:rPr>
          <w:rFonts w:hint="eastAsia"/>
        </w:rPr>
        <w:instrText xml:space="preserve"> </w:instrText>
      </w:r>
      <w:r>
        <w:instrText xml:space="preserve">PAGEREF _Toc181632386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9"/>
        <w:rPr>
          <w:rFonts w:cstheme="minorBidi"/>
          <w:kern w:val="2"/>
          <w14:ligatures w14:val="standardContextual"/>
        </w:rPr>
      </w:pPr>
      <w:r>
        <w:fldChar w:fldCharType="begin"/>
      </w:r>
      <w:r>
        <w:instrText xml:space="preserve"> HYPERLINK \l "_Toc181632387" </w:instrText>
      </w:r>
      <w:r>
        <w:fldChar w:fldCharType="separate"/>
      </w:r>
      <w:r>
        <w:rPr>
          <w:rStyle w:val="13"/>
          <w:rFonts w:hint="eastAsia"/>
          <w:sz w:val="21"/>
          <w:szCs w:val="21"/>
        </w:rPr>
        <w:t>5</w:t>
      </w:r>
      <w:r>
        <w:rPr>
          <w:rStyle w:val="13"/>
          <w:rFonts w:hint="eastAsia" w:ascii="Times New Roman"/>
          <w:sz w:val="21"/>
          <w:szCs w:val="21"/>
        </w:rPr>
        <w:t xml:space="preserve"> 作业要求</w:t>
      </w:r>
      <w:r>
        <w:rPr>
          <w:rFonts w:hint="eastAsia"/>
        </w:rPr>
        <w:tab/>
      </w:r>
      <w:r>
        <w:rPr>
          <w:rFonts w:hint="eastAsia"/>
        </w:rPr>
        <w:fldChar w:fldCharType="begin"/>
      </w:r>
      <w:r>
        <w:rPr>
          <w:rFonts w:hint="eastAsia"/>
        </w:rPr>
        <w:instrText xml:space="preserve"> </w:instrText>
      </w:r>
      <w:r>
        <w:instrText xml:space="preserve">PAGEREF _Toc181632387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9"/>
      </w:pPr>
      <w:r>
        <w:fldChar w:fldCharType="end"/>
      </w:r>
    </w:p>
    <w:p/>
    <w:p/>
    <w:p/>
    <w:p/>
    <w:p/>
    <w:p/>
    <w:p/>
    <w:p/>
    <w:p/>
    <w:p/>
    <w:p>
      <w:pPr>
        <w:jc w:val="right"/>
      </w:pPr>
    </w:p>
    <w:p/>
    <w:p/>
    <w:p/>
    <w:p>
      <w:pPr>
        <w:pStyle w:val="21"/>
        <w:tabs>
          <w:tab w:val="center" w:pos="4153"/>
          <w:tab w:val="left" w:pos="6630"/>
        </w:tabs>
        <w:jc w:val="left"/>
        <w:rPr>
          <w:rFonts w:ascii="Times New Roman"/>
        </w:rPr>
      </w:pPr>
      <w:r>
        <w:rPr>
          <w:rFonts w:ascii="Times New Roman"/>
        </w:rPr>
        <w:tab/>
      </w:r>
      <w:bookmarkStart w:id="9" w:name="_Toc181632381"/>
      <w:r>
        <w:rPr>
          <w:rFonts w:hint="eastAsia" w:ascii="Times New Roman"/>
        </w:rPr>
        <w:t>前言</w:t>
      </w:r>
      <w:bookmarkEnd w:id="9"/>
      <w:r>
        <w:rPr>
          <w:rFonts w:ascii="Times New Roman"/>
        </w:rPr>
        <w:tab/>
      </w:r>
    </w:p>
    <w:p>
      <w:pPr>
        <w:widowControl/>
        <w:spacing w:after="0" w:line="360" w:lineRule="auto"/>
        <w:ind w:firstLine="420" w:firstLineChars="200"/>
      </w:pPr>
      <w:r>
        <w:rPr>
          <w:rFonts w:hint="eastAsia"/>
        </w:rPr>
        <w:t>本文件按照GB/T 1.1-2020《标准化工作导则  第1部分：标准化文件的结构和起草规则》的规定起草。</w:t>
      </w:r>
    </w:p>
    <w:p>
      <w:pPr>
        <w:widowControl/>
        <w:spacing w:after="0" w:line="360" w:lineRule="auto"/>
        <w:ind w:firstLine="420" w:firstLineChars="200"/>
      </w:pPr>
      <w:r>
        <w:rPr>
          <w:rFonts w:hint="eastAsia"/>
        </w:rPr>
        <w:t>请注意本文件的某些内容可能涉及专利。本文件的发布机构不承担识别专利的责任。</w:t>
      </w:r>
    </w:p>
    <w:p>
      <w:pPr>
        <w:widowControl/>
        <w:spacing w:after="0" w:line="360" w:lineRule="auto"/>
        <w:ind w:firstLine="420" w:firstLineChars="200"/>
      </w:pPr>
      <w:r>
        <w:rPr>
          <w:rFonts w:hint="eastAsia"/>
        </w:rPr>
        <w:t>本文件由江苏海事局提出并归口。本文件起草单位：江苏海事局、长三角航运发展研究院、</w:t>
      </w:r>
      <w:r>
        <w:rPr>
          <w:rFonts w:hint="eastAsia" w:ascii="宋体" w:hAnsi="宋体"/>
          <w:sz w:val="24"/>
        </w:rPr>
        <w:t>江苏星州生态环境技术有限公司</w:t>
      </w:r>
    </w:p>
    <w:p>
      <w:pPr>
        <w:widowControl/>
        <w:spacing w:after="0" w:line="360" w:lineRule="auto"/>
        <w:ind w:firstLine="420" w:firstLineChars="200"/>
        <w:sectPr>
          <w:headerReference r:id="rId8" w:type="first"/>
          <w:footerReference r:id="rId11" w:type="first"/>
          <w:headerReference r:id="rId6" w:type="default"/>
          <w:footerReference r:id="rId9" w:type="default"/>
          <w:headerReference r:id="rId7" w:type="even"/>
          <w:footerReference r:id="rId10" w:type="even"/>
          <w:pgSz w:w="11906" w:h="16838"/>
          <w:pgMar w:top="1440" w:right="1800" w:bottom="1440" w:left="1800" w:header="851" w:footer="992" w:gutter="0"/>
          <w:pgNumType w:fmt="upperRoman" w:start="1"/>
          <w:cols w:space="425" w:num="1"/>
          <w:docGrid w:type="lines" w:linePitch="312" w:charSpace="0"/>
        </w:sectPr>
      </w:pPr>
      <w:r>
        <w:rPr>
          <w:rFonts w:hint="eastAsia"/>
        </w:rPr>
        <w:t>本文件主要起草人：朱聪、黄燕品、许云刚、李佳华、朱坤、何耿华、赵海波、施飞、刘锭坤、卢学、陈俊宇、陈振翔、阚昕、徐秀敏。</w:t>
      </w:r>
    </w:p>
    <w:p>
      <w:pPr>
        <w:pStyle w:val="21"/>
        <w:rPr>
          <w:rFonts w:ascii="Times New Roman"/>
        </w:rPr>
      </w:pPr>
      <w:bookmarkStart w:id="10" w:name="_Toc181632382"/>
      <w:bookmarkStart w:id="11" w:name="_Toc181632230"/>
      <w:bookmarkStart w:id="12" w:name="_Toc181612712"/>
      <w:bookmarkStart w:id="13" w:name="_Toc181612602"/>
      <w:r>
        <w:rPr>
          <w:rFonts w:ascii="Times New Roman"/>
        </w:rPr>
        <w:t>长江江苏段水上吊艄作业条件</w:t>
      </w:r>
      <w:r>
        <w:rPr>
          <w:rFonts w:hint="eastAsia" w:ascii="Times New Roman"/>
        </w:rPr>
        <w:t>及</w:t>
      </w:r>
      <w:r>
        <w:rPr>
          <w:rFonts w:ascii="Times New Roman"/>
        </w:rPr>
        <w:t>要求</w:t>
      </w:r>
      <w:bookmarkEnd w:id="0"/>
      <w:r>
        <w:rPr>
          <w:rFonts w:ascii="宋体" w:hAnsi="宋体" w:cs="宋体"/>
          <w:color w:val="000000"/>
          <w:szCs w:val="32"/>
        </w:rPr>
        <w:t>（草案）</w:t>
      </w:r>
      <w:bookmarkEnd w:id="10"/>
      <w:bookmarkEnd w:id="11"/>
      <w:bookmarkEnd w:id="12"/>
      <w:bookmarkEnd w:id="13"/>
    </w:p>
    <w:p>
      <w:pPr>
        <w:pStyle w:val="20"/>
        <w:numPr>
          <w:ilvl w:val="0"/>
          <w:numId w:val="1"/>
        </w:numPr>
        <w:rPr>
          <w:rFonts w:ascii="Times New Roman"/>
          <w:b/>
          <w:bCs/>
          <w:szCs w:val="21"/>
        </w:rPr>
      </w:pPr>
      <w:bookmarkStart w:id="14" w:name="_Toc181632383"/>
      <w:bookmarkStart w:id="15" w:name="_Toc92978036"/>
      <w:r>
        <w:rPr>
          <w:rFonts w:ascii="Times New Roman"/>
          <w:b/>
          <w:bCs/>
          <w:szCs w:val="21"/>
        </w:rPr>
        <w:t>范围</w:t>
      </w:r>
      <w:bookmarkEnd w:id="14"/>
      <w:bookmarkEnd w:id="15"/>
    </w:p>
    <w:p>
      <w:pPr>
        <w:pStyle w:val="17"/>
        <w:spacing w:after="0" w:line="300" w:lineRule="auto"/>
        <w:rPr>
          <w:rFonts w:ascii="Times New Roman"/>
          <w:szCs w:val="21"/>
        </w:rPr>
      </w:pPr>
      <w:r>
        <w:rPr>
          <w:rFonts w:ascii="Times New Roman"/>
          <w:szCs w:val="21"/>
        </w:rPr>
        <w:t>本文件规定了</w:t>
      </w:r>
      <w:r>
        <w:rPr>
          <w:rFonts w:hint="eastAsia" w:ascii="Times New Roman"/>
          <w:szCs w:val="21"/>
        </w:rPr>
        <w:t>长江江苏段</w:t>
      </w:r>
      <w:r>
        <w:rPr>
          <w:rFonts w:ascii="Times New Roman"/>
          <w:szCs w:val="21"/>
        </w:rPr>
        <w:t>水上吊艄的</w:t>
      </w:r>
      <w:r>
        <w:rPr>
          <w:rFonts w:hint="eastAsia" w:ascii="Times New Roman"/>
          <w:szCs w:val="21"/>
        </w:rPr>
        <w:t>作业</w:t>
      </w:r>
      <w:r>
        <w:rPr>
          <w:rFonts w:ascii="Times New Roman"/>
          <w:szCs w:val="21"/>
        </w:rPr>
        <w:t>条件与</w:t>
      </w:r>
      <w:r>
        <w:rPr>
          <w:rFonts w:hint="eastAsia" w:ascii="Times New Roman"/>
          <w:szCs w:val="21"/>
        </w:rPr>
        <w:t>作业</w:t>
      </w:r>
      <w:r>
        <w:rPr>
          <w:rFonts w:ascii="Times New Roman"/>
          <w:szCs w:val="21"/>
        </w:rPr>
        <w:t>要求</w:t>
      </w:r>
      <w:r>
        <w:rPr>
          <w:rFonts w:hint="eastAsia" w:ascii="Times New Roman"/>
          <w:szCs w:val="21"/>
        </w:rPr>
        <w:t>等</w:t>
      </w:r>
      <w:r>
        <w:rPr>
          <w:rFonts w:ascii="Times New Roman"/>
          <w:szCs w:val="21"/>
        </w:rPr>
        <w:t>。</w:t>
      </w:r>
    </w:p>
    <w:p>
      <w:pPr>
        <w:pStyle w:val="17"/>
        <w:spacing w:after="0" w:line="300" w:lineRule="auto"/>
        <w:rPr>
          <w:rFonts w:ascii="Times New Roman"/>
          <w:szCs w:val="21"/>
        </w:rPr>
      </w:pPr>
      <w:r>
        <w:rPr>
          <w:rFonts w:ascii="Times New Roman"/>
          <w:szCs w:val="21"/>
        </w:rPr>
        <w:t>本文件适用于长江江苏段船舶</w:t>
      </w:r>
      <w:r>
        <w:rPr>
          <w:rFonts w:hint="eastAsia" w:ascii="Times New Roman"/>
          <w:szCs w:val="21"/>
        </w:rPr>
        <w:t>水上</w:t>
      </w:r>
      <w:r>
        <w:rPr>
          <w:rFonts w:ascii="Times New Roman"/>
          <w:szCs w:val="21"/>
        </w:rPr>
        <w:t>吊艄作业活动。</w:t>
      </w:r>
    </w:p>
    <w:p>
      <w:pPr>
        <w:pStyle w:val="20"/>
        <w:numPr>
          <w:ilvl w:val="0"/>
          <w:numId w:val="1"/>
        </w:numPr>
        <w:rPr>
          <w:rFonts w:ascii="Times New Roman"/>
          <w:b/>
          <w:bCs/>
          <w:szCs w:val="21"/>
        </w:rPr>
      </w:pPr>
      <w:bookmarkStart w:id="16" w:name="_Toc181632384"/>
      <w:bookmarkStart w:id="17" w:name="_Toc92978037"/>
      <w:r>
        <w:rPr>
          <w:rFonts w:ascii="Times New Roman"/>
          <w:b/>
          <w:bCs/>
          <w:szCs w:val="21"/>
        </w:rPr>
        <w:t>规范性引用文件</w:t>
      </w:r>
      <w:bookmarkEnd w:id="16"/>
      <w:bookmarkEnd w:id="17"/>
    </w:p>
    <w:p>
      <w:pPr>
        <w:pStyle w:val="17"/>
        <w:spacing w:after="0" w:line="300" w:lineRule="auto"/>
        <w:rPr>
          <w:rFonts w:ascii="Times New Roman"/>
          <w:szCs w:val="21"/>
        </w:rPr>
      </w:pPr>
      <w:r>
        <w:rPr>
          <w:rFonts w:ascii="Times New Roman"/>
          <w:szCs w:val="21"/>
        </w:rPr>
        <w:t>下列文件对于本文件的应用是必不可少的。凡是注日期的引用文件，仅所注日期的版本适用于本文件。凡是不注日期的引用文件，其最新版本（包括所有的修改单）适用于本文件。</w:t>
      </w:r>
    </w:p>
    <w:p>
      <w:pPr>
        <w:widowControl/>
        <w:adjustRightInd w:val="0"/>
        <w:snapToGrid w:val="0"/>
        <w:spacing w:after="0" w:line="300" w:lineRule="auto"/>
        <w:ind w:firstLine="420" w:firstLineChars="200"/>
        <w:jc w:val="left"/>
        <w:rPr>
          <w:kern w:val="0"/>
          <w:szCs w:val="21"/>
        </w:rPr>
      </w:pPr>
      <w:r>
        <w:rPr>
          <w:kern w:val="0"/>
          <w:szCs w:val="21"/>
        </w:rPr>
        <w:t>GB/T 13386</w:t>
      </w:r>
      <w:r>
        <w:rPr>
          <w:rFonts w:hint="eastAsia"/>
          <w:kern w:val="0"/>
          <w:szCs w:val="21"/>
        </w:rPr>
        <w:t xml:space="preserve">  海洋营运船舶明火作业安全技术要求</w:t>
      </w:r>
    </w:p>
    <w:p>
      <w:pPr>
        <w:widowControl/>
        <w:adjustRightInd w:val="0"/>
        <w:snapToGrid w:val="0"/>
        <w:spacing w:after="0" w:line="300" w:lineRule="auto"/>
        <w:ind w:firstLine="420" w:firstLineChars="200"/>
        <w:jc w:val="left"/>
        <w:rPr>
          <w:kern w:val="0"/>
          <w:szCs w:val="21"/>
        </w:rPr>
      </w:pPr>
      <w:r>
        <w:rPr>
          <w:kern w:val="0"/>
          <w:szCs w:val="21"/>
        </w:rPr>
        <w:t>GB3552  船舶水污染物排放控制标准</w:t>
      </w:r>
    </w:p>
    <w:p>
      <w:pPr>
        <w:widowControl/>
        <w:adjustRightInd w:val="0"/>
        <w:snapToGrid w:val="0"/>
        <w:spacing w:after="0" w:line="300" w:lineRule="auto"/>
        <w:ind w:firstLine="420" w:firstLineChars="200"/>
        <w:jc w:val="left"/>
        <w:rPr>
          <w:kern w:val="0"/>
          <w:szCs w:val="21"/>
        </w:rPr>
      </w:pPr>
      <w:r>
        <w:rPr>
          <w:rFonts w:hint="eastAsia"/>
          <w:kern w:val="0"/>
          <w:szCs w:val="21"/>
        </w:rPr>
        <w:t>GB/T 34525  气瓶搬运、装卸、储存和使用安全规定</w:t>
      </w:r>
    </w:p>
    <w:p>
      <w:pPr>
        <w:widowControl/>
        <w:adjustRightInd w:val="0"/>
        <w:snapToGrid w:val="0"/>
        <w:spacing w:after="0" w:line="300" w:lineRule="auto"/>
        <w:ind w:firstLine="420" w:firstLineChars="200"/>
        <w:jc w:val="left"/>
        <w:rPr>
          <w:kern w:val="0"/>
          <w:szCs w:val="21"/>
        </w:rPr>
      </w:pPr>
      <w:r>
        <w:rPr>
          <w:kern w:val="0"/>
          <w:szCs w:val="21"/>
        </w:rPr>
        <w:t>JT/T879  港口、码头、装卸站和船舶修造、拆解单位船舶污染物接收能力要求</w:t>
      </w:r>
    </w:p>
    <w:p>
      <w:pPr>
        <w:widowControl/>
        <w:adjustRightInd w:val="0"/>
        <w:snapToGrid w:val="0"/>
        <w:spacing w:after="0" w:line="300" w:lineRule="auto"/>
        <w:ind w:firstLine="420" w:firstLineChars="200"/>
        <w:jc w:val="left"/>
        <w:rPr>
          <w:kern w:val="0"/>
          <w:szCs w:val="21"/>
        </w:rPr>
      </w:pPr>
      <w:r>
        <w:rPr>
          <w:kern w:val="0"/>
          <w:szCs w:val="21"/>
        </w:rPr>
        <w:t>JT/T787  船舶修造和拆解单位防污染设施设备配备及操作要求</w:t>
      </w:r>
    </w:p>
    <w:p>
      <w:pPr>
        <w:widowControl/>
        <w:adjustRightInd w:val="0"/>
        <w:snapToGrid w:val="0"/>
        <w:spacing w:after="0" w:line="300" w:lineRule="auto"/>
        <w:ind w:firstLine="420" w:firstLineChars="200"/>
        <w:jc w:val="left"/>
        <w:rPr>
          <w:kern w:val="0"/>
          <w:szCs w:val="21"/>
        </w:rPr>
      </w:pPr>
      <w:r>
        <w:rPr>
          <w:kern w:val="0"/>
          <w:szCs w:val="21"/>
        </w:rPr>
        <w:t>DB32</w:t>
      </w:r>
      <w:r>
        <w:rPr>
          <w:rFonts w:hint="eastAsia"/>
          <w:kern w:val="0"/>
          <w:szCs w:val="21"/>
        </w:rPr>
        <w:t>/</w:t>
      </w:r>
      <w:r>
        <w:rPr>
          <w:kern w:val="0"/>
          <w:szCs w:val="21"/>
        </w:rPr>
        <w:t>T 4618 船舶水污染物“一零两全四免费”服务规范</w:t>
      </w:r>
    </w:p>
    <w:p>
      <w:pPr>
        <w:widowControl/>
        <w:adjustRightInd w:val="0"/>
        <w:snapToGrid w:val="0"/>
        <w:spacing w:after="0" w:line="300" w:lineRule="auto"/>
        <w:ind w:firstLine="420" w:firstLineChars="200"/>
        <w:jc w:val="left"/>
        <w:rPr>
          <w:kern w:val="0"/>
          <w:szCs w:val="21"/>
        </w:rPr>
      </w:pPr>
      <w:r>
        <w:rPr>
          <w:rFonts w:hint="eastAsia"/>
          <w:kern w:val="0"/>
          <w:szCs w:val="21"/>
        </w:rPr>
        <w:t>DB32/T 4125 船舶载运散装液体危险货物作业条件及要求</w:t>
      </w:r>
    </w:p>
    <w:p>
      <w:pPr>
        <w:widowControl/>
        <w:adjustRightInd w:val="0"/>
        <w:snapToGrid w:val="0"/>
        <w:spacing w:after="0" w:line="300" w:lineRule="auto"/>
        <w:ind w:firstLine="420" w:firstLineChars="200"/>
        <w:jc w:val="left"/>
        <w:rPr>
          <w:kern w:val="0"/>
          <w:szCs w:val="21"/>
        </w:rPr>
      </w:pPr>
      <w:r>
        <w:rPr>
          <w:kern w:val="0"/>
          <w:szCs w:val="21"/>
        </w:rPr>
        <w:t>DB32</w:t>
      </w:r>
      <w:r>
        <w:rPr>
          <w:rFonts w:hint="eastAsia"/>
          <w:kern w:val="0"/>
          <w:szCs w:val="21"/>
        </w:rPr>
        <w:t>/</w:t>
      </w:r>
      <w:r>
        <w:rPr>
          <w:kern w:val="0"/>
          <w:szCs w:val="21"/>
        </w:rPr>
        <w:t>T 461</w:t>
      </w:r>
      <w:r>
        <w:rPr>
          <w:rFonts w:hint="eastAsia"/>
          <w:kern w:val="0"/>
          <w:szCs w:val="21"/>
        </w:rPr>
        <w:t>9</w:t>
      </w:r>
      <w:r>
        <w:rPr>
          <w:kern w:val="0"/>
          <w:szCs w:val="21"/>
        </w:rPr>
        <w:t xml:space="preserve"> </w:t>
      </w:r>
      <w:r>
        <w:rPr>
          <w:rFonts w:hint="eastAsia"/>
          <w:kern w:val="0"/>
          <w:szCs w:val="21"/>
        </w:rPr>
        <w:t>长江江苏段水上绿色综合服务区建设和服务规范</w:t>
      </w:r>
    </w:p>
    <w:p>
      <w:pPr>
        <w:pStyle w:val="3"/>
        <w:snapToGrid w:val="0"/>
        <w:spacing w:after="0" w:line="300" w:lineRule="auto"/>
        <w:ind w:firstLine="420" w:firstLineChars="200"/>
      </w:pPr>
      <w:r>
        <w:t>JGJ276 建筑施工起重吊装工程安全技术规范</w:t>
      </w:r>
    </w:p>
    <w:p>
      <w:pPr>
        <w:pStyle w:val="20"/>
        <w:numPr>
          <w:ilvl w:val="0"/>
          <w:numId w:val="1"/>
        </w:numPr>
        <w:rPr>
          <w:rFonts w:ascii="Times New Roman"/>
          <w:b/>
          <w:bCs/>
          <w:szCs w:val="21"/>
        </w:rPr>
      </w:pPr>
      <w:bookmarkStart w:id="18" w:name="_Toc92978038"/>
      <w:bookmarkStart w:id="19" w:name="_Toc181632385"/>
      <w:r>
        <w:rPr>
          <w:rFonts w:ascii="Times New Roman"/>
          <w:b/>
          <w:bCs/>
          <w:szCs w:val="21"/>
        </w:rPr>
        <w:t>术语和定义</w:t>
      </w:r>
      <w:bookmarkEnd w:id="18"/>
      <w:bookmarkEnd w:id="19"/>
      <w:r>
        <w:rPr>
          <w:rFonts w:ascii="Times New Roman"/>
          <w:b/>
          <w:bCs/>
          <w:szCs w:val="21"/>
        </w:rPr>
        <w:t xml:space="preserve"> </w:t>
      </w:r>
    </w:p>
    <w:p>
      <w:pPr>
        <w:widowControl/>
        <w:adjustRightInd w:val="0"/>
        <w:snapToGrid w:val="0"/>
        <w:spacing w:after="0" w:line="300" w:lineRule="auto"/>
        <w:ind w:firstLine="420" w:firstLineChars="200"/>
        <w:jc w:val="left"/>
        <w:rPr>
          <w:kern w:val="0"/>
          <w:szCs w:val="21"/>
        </w:rPr>
      </w:pPr>
      <w:r>
        <w:rPr>
          <w:kern w:val="0"/>
          <w:szCs w:val="21"/>
        </w:rPr>
        <w:t>下列术语和定义适用于本文件。</w:t>
      </w:r>
    </w:p>
    <w:p>
      <w:pPr>
        <w:pStyle w:val="19"/>
        <w:spacing w:before="0" w:beforeLines="0" w:after="0" w:afterLines="0" w:line="300" w:lineRule="auto"/>
        <w:ind w:left="0"/>
        <w:rPr>
          <w:rFonts w:ascii="Times New Roman"/>
          <w:b/>
          <w:bCs/>
        </w:rPr>
      </w:pPr>
      <w:bookmarkStart w:id="20" w:name="_Toc92978039"/>
      <w:bookmarkEnd w:id="20"/>
    </w:p>
    <w:p>
      <w:pPr>
        <w:pStyle w:val="17"/>
        <w:spacing w:after="0" w:line="300" w:lineRule="auto"/>
        <w:ind w:firstLine="422"/>
        <w:rPr>
          <w:rFonts w:ascii="Times New Roman"/>
          <w:b/>
          <w:bCs/>
          <w:szCs w:val="21"/>
        </w:rPr>
      </w:pPr>
      <w:r>
        <w:rPr>
          <w:rFonts w:ascii="Times New Roman"/>
          <w:b/>
          <w:bCs/>
          <w:szCs w:val="21"/>
        </w:rPr>
        <w:t>吊艄作业</w:t>
      </w:r>
      <w:r>
        <w:rPr>
          <w:rFonts w:hint="eastAsia" w:ascii="Times New Roman"/>
          <w:b/>
          <w:bCs/>
          <w:szCs w:val="21"/>
        </w:rPr>
        <w:t xml:space="preserve">  </w:t>
      </w:r>
      <w:r>
        <w:rPr>
          <w:rFonts w:ascii="Times New Roman"/>
          <w:b/>
          <w:bCs/>
          <w:szCs w:val="21"/>
        </w:rPr>
        <w:t>Lifting operation</w:t>
      </w:r>
    </w:p>
    <w:p>
      <w:pPr>
        <w:pStyle w:val="17"/>
        <w:spacing w:after="0" w:line="300" w:lineRule="auto"/>
        <w:rPr>
          <w:rFonts w:ascii="Times New Roman"/>
          <w:szCs w:val="21"/>
        </w:rPr>
      </w:pPr>
      <w:r>
        <w:rPr>
          <w:rFonts w:ascii="Times New Roman"/>
        </w:rPr>
        <w:t>在水上以通过抬升船舶尾部等方式开展更换或者检修螺旋桨、尾轴等部件的作业。</w:t>
      </w:r>
      <w:r>
        <w:rPr>
          <w:rFonts w:ascii="Times New Roman"/>
          <w:szCs w:val="21"/>
        </w:rPr>
        <w:t xml:space="preserve"> </w:t>
      </w:r>
    </w:p>
    <w:p>
      <w:pPr>
        <w:pStyle w:val="19"/>
        <w:spacing w:before="0" w:beforeLines="0" w:after="0" w:afterLines="0" w:line="300" w:lineRule="auto"/>
        <w:ind w:left="0"/>
        <w:rPr>
          <w:rFonts w:ascii="Times New Roman"/>
        </w:rPr>
      </w:pPr>
      <w:bookmarkStart w:id="21" w:name="_Toc92978040"/>
      <w:bookmarkEnd w:id="21"/>
    </w:p>
    <w:p>
      <w:pPr>
        <w:pStyle w:val="17"/>
        <w:spacing w:after="0" w:line="300" w:lineRule="auto"/>
        <w:ind w:firstLine="422"/>
        <w:rPr>
          <w:rFonts w:ascii="Times New Roman"/>
          <w:b/>
          <w:bCs/>
          <w:szCs w:val="21"/>
        </w:rPr>
      </w:pPr>
      <w:r>
        <w:rPr>
          <w:rFonts w:ascii="Times New Roman"/>
          <w:b/>
          <w:bCs/>
          <w:szCs w:val="21"/>
        </w:rPr>
        <w:t>吊艄船</w:t>
      </w:r>
      <w:r>
        <w:rPr>
          <w:rFonts w:hint="eastAsia" w:ascii="Times New Roman"/>
          <w:b/>
          <w:bCs/>
          <w:szCs w:val="21"/>
        </w:rPr>
        <w:t xml:space="preserve">  </w:t>
      </w:r>
      <w:r>
        <w:rPr>
          <w:rFonts w:ascii="Times New Roman"/>
          <w:b/>
          <w:bCs/>
          <w:szCs w:val="21"/>
        </w:rPr>
        <w:t>Gondola boats</w:t>
      </w:r>
    </w:p>
    <w:p>
      <w:pPr>
        <w:pStyle w:val="17"/>
        <w:tabs>
          <w:tab w:val="right" w:pos="8306"/>
          <w:tab w:val="clear" w:pos="4201"/>
          <w:tab w:val="clear" w:pos="9298"/>
        </w:tabs>
        <w:spacing w:after="0" w:line="300" w:lineRule="auto"/>
        <w:rPr>
          <w:rFonts w:ascii="Times New Roman"/>
          <w:szCs w:val="21"/>
        </w:rPr>
      </w:pPr>
      <w:r>
        <w:rPr>
          <w:rFonts w:ascii="Times New Roman"/>
          <w:szCs w:val="21"/>
        </w:rPr>
        <w:t>从事</w:t>
      </w:r>
      <w:r>
        <w:rPr>
          <w:rFonts w:ascii="Times New Roman"/>
          <w:snapToGrid w:val="0"/>
          <w:szCs w:val="21"/>
        </w:rPr>
        <w:t>吊艄作业的专业船舶或特种船舶</w:t>
      </w:r>
      <w:r>
        <w:rPr>
          <w:rFonts w:ascii="Times New Roman"/>
          <w:szCs w:val="21"/>
        </w:rPr>
        <w:t>。</w:t>
      </w:r>
      <w:r>
        <w:rPr>
          <w:rFonts w:ascii="Times New Roman"/>
          <w:szCs w:val="21"/>
        </w:rPr>
        <w:tab/>
      </w:r>
    </w:p>
    <w:p>
      <w:pPr>
        <w:pStyle w:val="19"/>
        <w:spacing w:before="0" w:beforeLines="0" w:after="0" w:afterLines="0" w:line="300" w:lineRule="auto"/>
        <w:ind w:left="0"/>
        <w:rPr>
          <w:rFonts w:ascii="Times New Roman"/>
        </w:rPr>
      </w:pPr>
    </w:p>
    <w:p>
      <w:pPr>
        <w:pStyle w:val="17"/>
        <w:spacing w:after="0" w:line="300" w:lineRule="auto"/>
        <w:ind w:firstLine="422"/>
        <w:rPr>
          <w:rFonts w:ascii="Times New Roman"/>
          <w:b/>
          <w:bCs/>
          <w:szCs w:val="21"/>
        </w:rPr>
      </w:pPr>
      <w:r>
        <w:rPr>
          <w:rFonts w:ascii="Times New Roman"/>
          <w:b/>
          <w:bCs/>
          <w:szCs w:val="21"/>
        </w:rPr>
        <w:t>吊艄作业</w:t>
      </w:r>
      <w:r>
        <w:rPr>
          <w:rFonts w:hint="eastAsia" w:ascii="Times New Roman"/>
          <w:b/>
          <w:bCs/>
          <w:szCs w:val="21"/>
        </w:rPr>
        <w:t xml:space="preserve">辅助船  </w:t>
      </w:r>
      <w:r>
        <w:rPr>
          <w:rFonts w:ascii="Times New Roman"/>
          <w:b/>
          <w:bCs/>
          <w:szCs w:val="21"/>
        </w:rPr>
        <w:t>Stern operation support vessels</w:t>
      </w:r>
    </w:p>
    <w:p>
      <w:pPr>
        <w:pStyle w:val="17"/>
        <w:spacing w:after="0" w:line="300" w:lineRule="auto"/>
        <w:rPr>
          <w:rFonts w:ascii="Times New Roman"/>
          <w:szCs w:val="21"/>
        </w:rPr>
      </w:pPr>
      <w:r>
        <w:rPr>
          <w:rFonts w:hint="eastAsia" w:ascii="Times New Roman"/>
          <w:szCs w:val="21"/>
        </w:rPr>
        <w:t>辅助开展吊艄作业的船舶，主要包含锚艇、拖轮等</w:t>
      </w:r>
      <w:r>
        <w:rPr>
          <w:rFonts w:ascii="Times New Roman"/>
          <w:szCs w:val="21"/>
        </w:rPr>
        <w:t>。</w:t>
      </w:r>
    </w:p>
    <w:p>
      <w:pPr>
        <w:pStyle w:val="19"/>
        <w:spacing w:before="0" w:beforeLines="0" w:after="0" w:afterLines="0" w:line="300" w:lineRule="auto"/>
        <w:ind w:left="0"/>
        <w:rPr>
          <w:rFonts w:ascii="Times New Roman"/>
        </w:rPr>
      </w:pPr>
      <w:bookmarkStart w:id="22" w:name="_Toc92978041"/>
      <w:bookmarkEnd w:id="22"/>
    </w:p>
    <w:p>
      <w:pPr>
        <w:pStyle w:val="17"/>
        <w:spacing w:after="0" w:line="300" w:lineRule="auto"/>
        <w:ind w:firstLine="422"/>
        <w:rPr>
          <w:rFonts w:ascii="Times New Roman"/>
          <w:b/>
          <w:bCs/>
          <w:szCs w:val="21"/>
        </w:rPr>
      </w:pPr>
      <w:r>
        <w:rPr>
          <w:rFonts w:ascii="Times New Roman"/>
          <w:b/>
          <w:bCs/>
          <w:szCs w:val="21"/>
        </w:rPr>
        <w:t>吊艄作业单位</w:t>
      </w:r>
      <w:r>
        <w:rPr>
          <w:rFonts w:hint="eastAsia" w:ascii="Times New Roman"/>
          <w:b/>
          <w:bCs/>
          <w:szCs w:val="21"/>
        </w:rPr>
        <w:t xml:space="preserve">  </w:t>
      </w:r>
      <w:r>
        <w:rPr>
          <w:rFonts w:ascii="Times New Roman"/>
          <w:b/>
          <w:bCs/>
          <w:szCs w:val="21"/>
        </w:rPr>
        <w:t>Lifting operation unit</w:t>
      </w:r>
    </w:p>
    <w:p>
      <w:pPr>
        <w:pStyle w:val="17"/>
        <w:spacing w:after="0" w:line="300" w:lineRule="auto"/>
        <w:rPr>
          <w:rFonts w:ascii="Times New Roman"/>
          <w:szCs w:val="21"/>
        </w:rPr>
      </w:pPr>
      <w:r>
        <w:rPr>
          <w:rFonts w:ascii="Times New Roman"/>
          <w:szCs w:val="21"/>
        </w:rPr>
        <w:t>从事</w:t>
      </w:r>
      <w:r>
        <w:rPr>
          <w:rFonts w:ascii="Times New Roman"/>
          <w:snapToGrid w:val="0"/>
          <w:szCs w:val="21"/>
        </w:rPr>
        <w:t>吊艄作业的公司或企业</w:t>
      </w:r>
      <w:r>
        <w:rPr>
          <w:rFonts w:ascii="Times New Roman"/>
          <w:szCs w:val="21"/>
        </w:rPr>
        <w:t>。</w:t>
      </w:r>
    </w:p>
    <w:p>
      <w:pPr>
        <w:pStyle w:val="19"/>
        <w:spacing w:before="0" w:beforeLines="0" w:after="0" w:afterLines="0" w:line="300" w:lineRule="auto"/>
        <w:ind w:left="0"/>
        <w:rPr>
          <w:rFonts w:ascii="Times New Roman"/>
        </w:rPr>
      </w:pPr>
      <w:bookmarkStart w:id="23" w:name="_Toc92978042"/>
      <w:bookmarkEnd w:id="23"/>
    </w:p>
    <w:p>
      <w:pPr>
        <w:pStyle w:val="17"/>
        <w:spacing w:after="0" w:line="300" w:lineRule="auto"/>
        <w:ind w:firstLine="422"/>
        <w:rPr>
          <w:rFonts w:ascii="Times New Roman"/>
          <w:b/>
          <w:bCs/>
          <w:szCs w:val="21"/>
        </w:rPr>
      </w:pPr>
      <w:r>
        <w:rPr>
          <w:rFonts w:ascii="Times New Roman"/>
          <w:b/>
          <w:bCs/>
          <w:szCs w:val="21"/>
        </w:rPr>
        <w:t>水上绿色综合服务区</w:t>
      </w:r>
      <w:r>
        <w:rPr>
          <w:rFonts w:hint="eastAsia" w:ascii="Times New Roman"/>
          <w:b/>
          <w:bCs/>
          <w:szCs w:val="21"/>
        </w:rPr>
        <w:t xml:space="preserve">  Waterway green comprehensive service area</w:t>
      </w:r>
    </w:p>
    <w:p>
      <w:pPr>
        <w:pStyle w:val="17"/>
        <w:spacing w:after="0" w:line="300" w:lineRule="auto"/>
        <w:ind w:firstLine="388"/>
        <w:rPr>
          <w:rFonts w:ascii="Times New Roman"/>
          <w:spacing w:val="-8"/>
          <w:szCs w:val="21"/>
        </w:rPr>
      </w:pPr>
      <w:r>
        <w:rPr>
          <w:rFonts w:ascii="Times New Roman"/>
          <w:spacing w:val="-8"/>
          <w:szCs w:val="21"/>
        </w:rPr>
        <w:t>布置在特定水域，为船舶、船员提供生产,生活及船舶水污染物接收等服务的综合性服务区域。</w:t>
      </w:r>
    </w:p>
    <w:p>
      <w:pPr>
        <w:pStyle w:val="17"/>
        <w:spacing w:after="0" w:line="300" w:lineRule="auto"/>
        <w:rPr>
          <w:rFonts w:ascii="Arial" w:hAnsi="Arial" w:cs="Arial"/>
          <w:szCs w:val="21"/>
        </w:rPr>
      </w:pPr>
      <w:r>
        <w:rPr>
          <w:rFonts w:ascii="Arial" w:hAnsi="Arial" w:cs="Arial"/>
          <w:spacing w:val="-8"/>
          <w:szCs w:val="21"/>
        </w:rPr>
        <w:sym w:font="Symbol" w:char="F05B"/>
      </w:r>
      <w:r>
        <w:rPr>
          <w:rFonts w:ascii="Arial" w:hAnsi="Arial" w:cs="Arial"/>
          <w:spacing w:val="-8"/>
          <w:szCs w:val="21"/>
        </w:rPr>
        <w:t>来源：DB32/T 4619-2023，3.1</w:t>
      </w:r>
      <w:r>
        <w:rPr>
          <w:rFonts w:ascii="Arial" w:hAnsi="Arial" w:cs="Arial"/>
          <w:spacing w:val="-8"/>
          <w:szCs w:val="21"/>
        </w:rPr>
        <w:sym w:font="Symbol" w:char="F05D"/>
      </w:r>
    </w:p>
    <w:p>
      <w:pPr>
        <w:pStyle w:val="20"/>
        <w:numPr>
          <w:ilvl w:val="0"/>
          <w:numId w:val="1"/>
        </w:numPr>
        <w:rPr>
          <w:rFonts w:ascii="Times New Roman"/>
          <w:b/>
          <w:bCs/>
          <w:szCs w:val="21"/>
        </w:rPr>
      </w:pPr>
      <w:bookmarkStart w:id="24" w:name="_Toc92978043"/>
      <w:bookmarkEnd w:id="24"/>
      <w:bookmarkStart w:id="25" w:name="_Toc181632386"/>
      <w:r>
        <w:rPr>
          <w:rFonts w:ascii="Times New Roman"/>
          <w:b/>
          <w:bCs/>
          <w:szCs w:val="21"/>
        </w:rPr>
        <w:t>作业条件</w:t>
      </w:r>
      <w:bookmarkEnd w:id="25"/>
    </w:p>
    <w:p>
      <w:pPr>
        <w:pStyle w:val="19"/>
        <w:ind w:left="0"/>
        <w:rPr>
          <w:rFonts w:ascii="Times New Roman"/>
          <w:b/>
          <w:bCs/>
        </w:rPr>
      </w:pPr>
      <w:r>
        <w:rPr>
          <w:rFonts w:ascii="Times New Roman"/>
          <w:b/>
          <w:bCs/>
        </w:rPr>
        <w:t>一般条件</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4.1.1 作业选址</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4.1.1.1 吊艄作业</w:t>
      </w:r>
      <w:r>
        <w:rPr>
          <w:rFonts w:hint="eastAsia" w:ascii="Arial" w:hAnsi="Arial" w:cs="Arial" w:eastAsiaTheme="minorEastAsia"/>
          <w:szCs w:val="21"/>
        </w:rPr>
        <w:t>单位</w:t>
      </w:r>
      <w:r>
        <w:rPr>
          <w:rFonts w:ascii="Arial" w:hAnsi="Arial" w:cs="Arial" w:eastAsiaTheme="minorEastAsia"/>
          <w:szCs w:val="21"/>
        </w:rPr>
        <w:t>宜选择在有相关服务功能的水上绿色综合服务区进行吊艄作业，设置在服务区内的吊艄船及</w:t>
      </w:r>
      <w:r>
        <w:rPr>
          <w:rFonts w:hint="eastAsia" w:ascii="Arial" w:hAnsi="Arial" w:cs="Arial" w:eastAsiaTheme="minorEastAsia"/>
          <w:szCs w:val="21"/>
        </w:rPr>
        <w:t>相关</w:t>
      </w:r>
      <w:r>
        <w:rPr>
          <w:rFonts w:ascii="Arial" w:hAnsi="Arial" w:cs="Arial" w:eastAsiaTheme="minorEastAsia"/>
          <w:szCs w:val="21"/>
        </w:rPr>
        <w:t>设施应符合该服务区建设、运营相关</w:t>
      </w:r>
      <w:r>
        <w:rPr>
          <w:rFonts w:hint="eastAsia" w:ascii="Arial" w:hAnsi="Arial" w:cs="Arial" w:eastAsiaTheme="minorEastAsia"/>
          <w:szCs w:val="21"/>
        </w:rPr>
        <w:t>规定</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4.1.1.2 吊艄作业水域不应对通航环境构成影响；吊艄作业</w:t>
      </w:r>
      <w:r>
        <w:rPr>
          <w:rFonts w:hint="eastAsia" w:ascii="Arial" w:hAnsi="Arial" w:cs="Arial" w:eastAsiaTheme="minorEastAsia"/>
          <w:szCs w:val="21"/>
        </w:rPr>
        <w:t>单位</w:t>
      </w:r>
      <w:r>
        <w:rPr>
          <w:rFonts w:ascii="Arial" w:hAnsi="Arial" w:cs="Arial" w:eastAsiaTheme="minorEastAsia"/>
          <w:szCs w:val="21"/>
        </w:rPr>
        <w:t>占用港口岸线水域的，应事先取得相关部门同意。</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4.1.2 作业单位</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4.1.2.1 吊艄作业单位应向交通运输等相关主管部门备案。</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4.1.2.2 吊艄作业单位应配备吊艄作业安全与防污染设备</w:t>
      </w:r>
      <w:r>
        <w:rPr>
          <w:rFonts w:hint="eastAsia" w:ascii="Arial" w:hAnsi="Arial" w:cs="Arial" w:eastAsiaTheme="minorEastAsia"/>
          <w:szCs w:val="21"/>
        </w:rPr>
        <w:t>，</w:t>
      </w:r>
      <w:r>
        <w:rPr>
          <w:rFonts w:ascii="Arial" w:hAnsi="Arial" w:cs="Arial" w:eastAsiaTheme="minorEastAsia"/>
          <w:szCs w:val="21"/>
        </w:rPr>
        <w:t>建立吊艄作业安全生产、防污染管理</w:t>
      </w:r>
      <w:r>
        <w:rPr>
          <w:rFonts w:hint="eastAsia" w:ascii="Arial" w:hAnsi="Arial" w:cs="Arial" w:eastAsiaTheme="minorEastAsia"/>
          <w:szCs w:val="21"/>
        </w:rPr>
        <w:t>等</w:t>
      </w:r>
      <w:r>
        <w:rPr>
          <w:rFonts w:ascii="Arial" w:hAnsi="Arial" w:cs="Arial" w:eastAsiaTheme="minorEastAsia"/>
          <w:szCs w:val="21"/>
        </w:rPr>
        <w:t>制度，配备吊艄作业</w:t>
      </w:r>
      <w:r>
        <w:rPr>
          <w:rFonts w:hint="eastAsia" w:ascii="Arial" w:hAnsi="Arial" w:cs="Arial" w:eastAsiaTheme="minorEastAsia"/>
          <w:szCs w:val="21"/>
        </w:rPr>
        <w:t>专业人员</w:t>
      </w:r>
      <w:r>
        <w:rPr>
          <w:rFonts w:ascii="Arial" w:hAnsi="Arial" w:cs="Arial" w:eastAsiaTheme="minorEastAsia"/>
          <w:szCs w:val="21"/>
        </w:rPr>
        <w:t xml:space="preserve">。  </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w:t>
      </w:r>
      <w:r>
        <w:rPr>
          <w:rFonts w:hint="eastAsia" w:ascii="Arial" w:hAnsi="Arial" w:cs="Arial" w:eastAsiaTheme="minorEastAsia"/>
          <w:szCs w:val="21"/>
        </w:rPr>
        <w:t xml:space="preserve">2.3 </w:t>
      </w:r>
      <w:r>
        <w:rPr>
          <w:rFonts w:ascii="Arial" w:hAnsi="Arial" w:cs="Arial" w:eastAsiaTheme="minorEastAsia"/>
          <w:szCs w:val="21"/>
        </w:rPr>
        <w:t>吊艄作业单位应定期组织本单位作业人员进行安全与防污染操作技能、设备使用、作业程序、安全防护和应急反应等专业培训</w:t>
      </w:r>
      <w:r>
        <w:rPr>
          <w:rFonts w:hint="eastAsia" w:ascii="Arial" w:hAnsi="Arial" w:cs="Arial" w:eastAsiaTheme="minorEastAsia"/>
          <w:szCs w:val="21"/>
        </w:rPr>
        <w:t>和演习</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4.1.2.4</w:t>
      </w:r>
      <w:r>
        <w:rPr>
          <w:rFonts w:hint="eastAsia" w:ascii="Arial" w:hAnsi="Arial" w:cs="Arial" w:eastAsiaTheme="minorEastAsia"/>
          <w:szCs w:val="21"/>
        </w:rPr>
        <w:t xml:space="preserve"> </w:t>
      </w:r>
      <w:r>
        <w:rPr>
          <w:rFonts w:ascii="Arial" w:hAnsi="Arial" w:cs="Arial" w:eastAsiaTheme="minorEastAsia"/>
          <w:szCs w:val="21"/>
        </w:rPr>
        <w:t>鼓励吊艄作业单位投保相关的安全和防污染责任保险。</w:t>
      </w:r>
    </w:p>
    <w:p>
      <w:pPr>
        <w:pStyle w:val="17"/>
        <w:spacing w:before="156" w:beforeLines="50" w:after="156" w:afterLines="50" w:line="240" w:lineRule="auto"/>
        <w:ind w:firstLine="0" w:firstLineChars="0"/>
        <w:rPr>
          <w:rFonts w:ascii="Arial" w:hAnsi="Arial" w:eastAsia="黑体" w:cs="Arial"/>
          <w:b/>
          <w:bCs/>
          <w:szCs w:val="21"/>
        </w:rPr>
      </w:pPr>
      <w:bookmarkStart w:id="26" w:name="_Toc92978047"/>
      <w:r>
        <w:rPr>
          <w:rFonts w:ascii="Arial" w:hAnsi="Arial" w:eastAsia="黑体" w:cs="Arial"/>
          <w:b/>
          <w:bCs/>
          <w:szCs w:val="21"/>
        </w:rPr>
        <w:t>4.1.3 作业船舶</w:t>
      </w:r>
      <w:bookmarkEnd w:id="26"/>
      <w:r>
        <w:rPr>
          <w:rFonts w:ascii="Arial" w:hAnsi="Arial" w:eastAsia="黑体" w:cs="Arial"/>
          <w:b/>
          <w:bCs/>
          <w:szCs w:val="21"/>
        </w:rPr>
        <w:t xml:space="preserve"> </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4.1.3.1 吊艄船及吊艄作业辅助船应经船舶检验机构法定检验，取得相应的船舶检验证书，并向当地交通运输部门办理备案手续；吊艄船船龄应不超过特别定期检验船龄。</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4.1.3.2 吊艄船应配备符合要求的船员、操作人员和设备。</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4.1.3.3 供吊艄作业人员操作的平台应满足刚性、稳性等技术要求，平台面积根据修理船舶吨位而定，一般不宜小于8m</w:t>
      </w:r>
      <w:r>
        <w:rPr>
          <w:rFonts w:ascii="Arial" w:hAnsi="Arial" w:cs="Arial" w:eastAsiaTheme="minorEastAsia"/>
          <w:szCs w:val="21"/>
          <w:vertAlign w:val="superscript"/>
        </w:rPr>
        <w:t>2</w:t>
      </w:r>
      <w:r>
        <w:rPr>
          <w:rFonts w:ascii="Arial" w:hAnsi="Arial" w:cs="Arial" w:eastAsiaTheme="minorEastAsia"/>
          <w:szCs w:val="21"/>
        </w:rPr>
        <w:t xml:space="preserve">。操作平台边缘应设置连续密闭围挡，围挡挡板高度不应低于50mm，作业平台围挡内应设置甲板排水孔及堵孔塞。 </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4.1.3.4 吊艄船应在经批准的水域锚泊，应安排值班人员保持正规了望，并按照规定显示锚泊信号，密切注意周围环境和船舶航行动态，及时应对突发状况。</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4.1.3.5 吊艄船应在可能碍航的缆索、锚、锚链等设备上设置相应的警示标识。</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4.1.4 作业对象</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4.1.4.1</w:t>
      </w:r>
      <w:r>
        <w:rPr>
          <w:rFonts w:hint="eastAsia" w:ascii="Arial" w:hAnsi="Arial" w:cs="Arial" w:eastAsiaTheme="minorEastAsia"/>
          <w:szCs w:val="21"/>
        </w:rPr>
        <w:t xml:space="preserve"> </w:t>
      </w:r>
      <w:r>
        <w:rPr>
          <w:rFonts w:ascii="Arial" w:hAnsi="Arial" w:cs="Arial" w:eastAsiaTheme="minorEastAsia"/>
          <w:szCs w:val="21"/>
        </w:rPr>
        <w:t>被吊艄船的证书、配员等应符合要求</w:t>
      </w:r>
      <w:r>
        <w:rPr>
          <w:rFonts w:hint="eastAsia" w:ascii="Arial" w:hAnsi="Arial" w:cs="Arial" w:eastAsiaTheme="minorEastAsia"/>
          <w:szCs w:val="21"/>
        </w:rPr>
        <w:t>，船龄应在报废年限之内</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4.1.4.</w:t>
      </w:r>
      <w:r>
        <w:rPr>
          <w:rFonts w:hint="eastAsia" w:ascii="Arial" w:hAnsi="Arial" w:cs="Arial" w:eastAsiaTheme="minorEastAsia"/>
          <w:szCs w:val="21"/>
        </w:rPr>
        <w:t>2</w:t>
      </w:r>
      <w:r>
        <w:rPr>
          <w:rFonts w:ascii="Arial" w:hAnsi="Arial" w:cs="Arial" w:eastAsiaTheme="minorEastAsia"/>
          <w:szCs w:val="21"/>
        </w:rPr>
        <w:t xml:space="preserve"> 吊艄作业</w:t>
      </w:r>
      <w:r>
        <w:rPr>
          <w:rFonts w:hint="eastAsia" w:ascii="Arial" w:hAnsi="Arial" w:cs="Arial" w:eastAsiaTheme="minorEastAsia"/>
          <w:szCs w:val="21"/>
        </w:rPr>
        <w:t>对象</w:t>
      </w:r>
      <w:r>
        <w:rPr>
          <w:rFonts w:ascii="Arial" w:hAnsi="Arial" w:cs="Arial" w:eastAsiaTheme="minorEastAsia"/>
          <w:szCs w:val="21"/>
        </w:rPr>
        <w:t>不应</w:t>
      </w:r>
      <w:r>
        <w:rPr>
          <w:rFonts w:hint="eastAsia" w:ascii="Arial" w:hAnsi="Arial" w:cs="Arial" w:eastAsiaTheme="minorEastAsia"/>
          <w:szCs w:val="21"/>
        </w:rPr>
        <w:t>为</w:t>
      </w:r>
      <w:r>
        <w:rPr>
          <w:rFonts w:ascii="Arial" w:hAnsi="Arial" w:cs="Arial" w:eastAsiaTheme="minorEastAsia"/>
          <w:szCs w:val="21"/>
        </w:rPr>
        <w:t>载运散装液体危险货物船舶。</w:t>
      </w:r>
    </w:p>
    <w:p>
      <w:pPr>
        <w:pStyle w:val="17"/>
        <w:spacing w:before="156" w:beforeLines="50" w:after="156" w:afterLines="50" w:line="240" w:lineRule="auto"/>
        <w:ind w:firstLine="0" w:firstLineChars="0"/>
        <w:rPr>
          <w:rFonts w:ascii="Arial" w:hAnsi="Arial" w:eastAsia="黑体" w:cs="Arial"/>
          <w:b/>
          <w:bCs/>
          <w:szCs w:val="21"/>
        </w:rPr>
      </w:pPr>
      <w:bookmarkStart w:id="27" w:name="_Toc92978048"/>
      <w:r>
        <w:rPr>
          <w:rFonts w:ascii="Arial" w:hAnsi="Arial" w:eastAsia="黑体" w:cs="Arial"/>
          <w:b/>
          <w:bCs/>
          <w:szCs w:val="21"/>
        </w:rPr>
        <w:t>4.1.5</w:t>
      </w:r>
      <w:r>
        <w:rPr>
          <w:rFonts w:hint="eastAsia" w:ascii="Arial" w:hAnsi="Arial" w:eastAsia="黑体" w:cs="Arial"/>
          <w:b/>
          <w:bCs/>
          <w:szCs w:val="21"/>
        </w:rPr>
        <w:t xml:space="preserve"> </w:t>
      </w:r>
      <w:r>
        <w:rPr>
          <w:rFonts w:ascii="Arial" w:hAnsi="Arial" w:eastAsia="黑体" w:cs="Arial"/>
          <w:b/>
          <w:bCs/>
          <w:szCs w:val="21"/>
        </w:rPr>
        <w:t>作业人员</w:t>
      </w:r>
      <w:bookmarkEnd w:id="27"/>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4.1.5.1 从事吊艄作业的人员应经过</w:t>
      </w:r>
      <w:r>
        <w:rPr>
          <w:rFonts w:hint="eastAsia" w:ascii="Arial" w:hAnsi="Arial" w:cs="Arial" w:eastAsiaTheme="minorEastAsia"/>
          <w:szCs w:val="21"/>
        </w:rPr>
        <w:t>专门的</w:t>
      </w:r>
      <w:r>
        <w:rPr>
          <w:rFonts w:ascii="Arial" w:hAnsi="Arial" w:cs="Arial" w:eastAsiaTheme="minorEastAsia"/>
          <w:szCs w:val="21"/>
        </w:rPr>
        <w:t>安全和防污染培训，并</w:t>
      </w:r>
      <w:r>
        <w:rPr>
          <w:rFonts w:hint="eastAsia" w:ascii="Arial" w:hAnsi="Arial" w:cs="Arial" w:eastAsiaTheme="minorEastAsia"/>
          <w:szCs w:val="21"/>
        </w:rPr>
        <w:t>具备</w:t>
      </w:r>
      <w:r>
        <w:rPr>
          <w:rFonts w:ascii="Arial" w:hAnsi="Arial" w:cs="Arial" w:eastAsiaTheme="minorEastAsia"/>
          <w:szCs w:val="21"/>
        </w:rPr>
        <w:t>相应</w:t>
      </w:r>
      <w:r>
        <w:rPr>
          <w:rFonts w:hint="eastAsia" w:ascii="Arial" w:hAnsi="Arial" w:cs="Arial" w:eastAsiaTheme="minorEastAsia"/>
          <w:szCs w:val="21"/>
        </w:rPr>
        <w:t>技术能力</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4.1.5.2 吊艄作业现场负责人</w:t>
      </w:r>
      <w:r>
        <w:rPr>
          <w:rFonts w:hint="eastAsia" w:ascii="Arial" w:hAnsi="Arial" w:cs="Arial" w:eastAsiaTheme="minorEastAsia"/>
          <w:szCs w:val="21"/>
        </w:rPr>
        <w:t>应对</w:t>
      </w:r>
      <w:r>
        <w:rPr>
          <w:rFonts w:ascii="Arial" w:hAnsi="Arial" w:cs="Arial" w:eastAsiaTheme="minorEastAsia"/>
          <w:szCs w:val="21"/>
        </w:rPr>
        <w:t>吊艄作业</w:t>
      </w:r>
      <w:r>
        <w:rPr>
          <w:rFonts w:hint="eastAsia" w:ascii="Arial" w:hAnsi="Arial" w:cs="Arial" w:eastAsiaTheme="minorEastAsia"/>
          <w:szCs w:val="21"/>
        </w:rPr>
        <w:t>进行全程</w:t>
      </w:r>
      <w:r>
        <w:rPr>
          <w:rFonts w:ascii="Arial" w:hAnsi="Arial" w:cs="Arial" w:eastAsiaTheme="minorEastAsia"/>
          <w:szCs w:val="21"/>
        </w:rPr>
        <w:t>监督</w:t>
      </w:r>
      <w:r>
        <w:rPr>
          <w:rFonts w:hint="eastAsia"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4.1.5.</w:t>
      </w:r>
      <w:r>
        <w:rPr>
          <w:rFonts w:hint="eastAsia" w:ascii="Arial" w:hAnsi="Arial" w:cs="Arial" w:eastAsiaTheme="minorEastAsia"/>
          <w:szCs w:val="21"/>
        </w:rPr>
        <w:t xml:space="preserve">3 </w:t>
      </w:r>
      <w:r>
        <w:rPr>
          <w:rFonts w:ascii="Arial" w:hAnsi="Arial" w:cs="Arial" w:eastAsiaTheme="minorEastAsia"/>
          <w:szCs w:val="21"/>
        </w:rPr>
        <w:t>特种设备操作人员应持有相应证书并保持有效性。</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4.1.6 应急反应条件</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4.1.6.1 吊艄作业单位应编制生产安全事故应急救援预案及防治船舶吊艄作业污染水域应急预案</w:t>
      </w:r>
      <w:r>
        <w:rPr>
          <w:rFonts w:hint="eastAsia" w:ascii="Arial" w:hAnsi="Arial" w:cs="Arial" w:eastAsiaTheme="minorEastAsia"/>
          <w:szCs w:val="21"/>
        </w:rPr>
        <w:t>，并及时更新</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4.1.6.3 吊艄作业单位每季度至少应组织一次</w:t>
      </w:r>
      <w:r>
        <w:rPr>
          <w:rFonts w:hint="eastAsia" w:ascii="Arial" w:hAnsi="Arial" w:cs="Arial" w:eastAsiaTheme="minorEastAsia"/>
          <w:szCs w:val="21"/>
        </w:rPr>
        <w:t>安全和防污染</w:t>
      </w:r>
      <w:r>
        <w:rPr>
          <w:rFonts w:ascii="Arial" w:hAnsi="Arial" w:cs="Arial" w:eastAsiaTheme="minorEastAsia"/>
          <w:szCs w:val="21"/>
        </w:rPr>
        <w:t>应急演练，并做好记录。</w:t>
      </w:r>
    </w:p>
    <w:p>
      <w:pPr>
        <w:pStyle w:val="19"/>
        <w:ind w:left="0"/>
        <w:rPr>
          <w:rFonts w:ascii="Times New Roman"/>
          <w:b/>
          <w:bCs/>
        </w:rPr>
      </w:pPr>
      <w:r>
        <w:rPr>
          <w:rFonts w:ascii="Times New Roman"/>
          <w:b/>
          <w:bCs/>
        </w:rPr>
        <w:t>安全条件</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4.2.1 作业时间</w:t>
      </w:r>
    </w:p>
    <w:p>
      <w:pPr>
        <w:widowControl/>
        <w:adjustRightInd w:val="0"/>
        <w:snapToGrid w:val="0"/>
        <w:spacing w:after="0" w:line="300" w:lineRule="auto"/>
        <w:ind w:firstLine="420" w:firstLineChars="200"/>
        <w:jc w:val="left"/>
        <w:rPr>
          <w:kern w:val="0"/>
          <w:szCs w:val="21"/>
        </w:rPr>
      </w:pPr>
      <w:r>
        <w:rPr>
          <w:kern w:val="0"/>
          <w:szCs w:val="21"/>
        </w:rPr>
        <w:t>吊艄作业应</w:t>
      </w:r>
      <w:r>
        <w:rPr>
          <w:rFonts w:hint="eastAsia"/>
          <w:kern w:val="0"/>
          <w:szCs w:val="21"/>
        </w:rPr>
        <w:t>避免夜间进行。</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 xml:space="preserve">4.2.2 气象条件 </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4.2.2.1</w:t>
      </w:r>
      <w:r>
        <w:rPr>
          <w:rFonts w:hint="eastAsia" w:ascii="Arial" w:hAnsi="Arial" w:cs="Arial" w:eastAsiaTheme="minorEastAsia"/>
          <w:szCs w:val="21"/>
        </w:rPr>
        <w:t xml:space="preserve"> </w:t>
      </w:r>
      <w:r>
        <w:rPr>
          <w:rFonts w:ascii="Arial" w:hAnsi="Arial" w:cs="Arial" w:eastAsiaTheme="minorEastAsia"/>
          <w:szCs w:val="21"/>
        </w:rPr>
        <w:t>遇强降雨、冰雪、雷暴</w:t>
      </w:r>
      <w:r>
        <w:rPr>
          <w:rFonts w:hint="eastAsia" w:ascii="Arial" w:hAnsi="Arial" w:cs="Arial" w:eastAsiaTheme="minorEastAsia"/>
          <w:szCs w:val="21"/>
        </w:rPr>
        <w:t>、大雾</w:t>
      </w:r>
      <w:r>
        <w:rPr>
          <w:rFonts w:ascii="Arial" w:hAnsi="Arial" w:cs="Arial" w:eastAsiaTheme="minorEastAsia"/>
          <w:szCs w:val="21"/>
        </w:rPr>
        <w:t>等恶劣天气</w:t>
      </w:r>
      <w:r>
        <w:rPr>
          <w:rFonts w:hint="eastAsia" w:ascii="Arial" w:hAnsi="Arial" w:cs="Arial" w:eastAsiaTheme="minorEastAsia"/>
          <w:szCs w:val="21"/>
        </w:rPr>
        <w:t>应</w:t>
      </w:r>
      <w:r>
        <w:rPr>
          <w:rFonts w:ascii="Arial" w:hAnsi="Arial" w:cs="Arial" w:eastAsiaTheme="minorEastAsia"/>
          <w:szCs w:val="21"/>
        </w:rPr>
        <w:t>停止吊艄作业。</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4.2.2.2</w:t>
      </w:r>
      <w:r>
        <w:rPr>
          <w:rFonts w:hint="eastAsia" w:ascii="Arial" w:hAnsi="Arial" w:cs="Arial" w:eastAsiaTheme="minorEastAsia"/>
          <w:szCs w:val="21"/>
        </w:rPr>
        <w:t xml:space="preserve"> </w:t>
      </w:r>
      <w:r>
        <w:rPr>
          <w:rFonts w:ascii="Arial" w:hAnsi="Arial" w:cs="Arial" w:eastAsiaTheme="minorEastAsia"/>
          <w:szCs w:val="21"/>
        </w:rPr>
        <w:t>遇六级以上大风及江水陡涨陡退5米及以上24小时内</w:t>
      </w:r>
      <w:r>
        <w:rPr>
          <w:rFonts w:hint="eastAsia" w:ascii="Arial" w:hAnsi="Arial" w:cs="Arial" w:eastAsiaTheme="minorEastAsia"/>
          <w:szCs w:val="21"/>
        </w:rPr>
        <w:t>应</w:t>
      </w:r>
      <w:r>
        <w:rPr>
          <w:rFonts w:ascii="Arial" w:hAnsi="Arial" w:cs="Arial" w:eastAsiaTheme="minorEastAsia"/>
          <w:szCs w:val="21"/>
        </w:rPr>
        <w:t>停止吊艄作业。</w:t>
      </w:r>
    </w:p>
    <w:p>
      <w:pPr>
        <w:pStyle w:val="17"/>
        <w:spacing w:before="156" w:beforeLines="50" w:after="156" w:afterLines="50" w:line="240" w:lineRule="auto"/>
        <w:ind w:firstLine="0" w:firstLineChars="0"/>
        <w:rPr>
          <w:rFonts w:ascii="Arial" w:hAnsi="Arial" w:eastAsia="黑体" w:cs="Arial"/>
          <w:b/>
          <w:bCs/>
          <w:szCs w:val="21"/>
        </w:rPr>
      </w:pPr>
      <w:r>
        <w:rPr>
          <w:rFonts w:ascii="Arial" w:hAnsi="Arial" w:eastAsia="黑体" w:cs="Arial"/>
          <w:b/>
          <w:bCs/>
          <w:szCs w:val="21"/>
        </w:rPr>
        <w:t>4.2.3 现场条件</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4.2.3.1</w:t>
      </w:r>
      <w:r>
        <w:rPr>
          <w:rFonts w:hint="eastAsia" w:ascii="Arial" w:hAnsi="Arial" w:cs="Arial" w:eastAsiaTheme="minorEastAsia"/>
          <w:szCs w:val="21"/>
        </w:rPr>
        <w:t xml:space="preserve"> </w:t>
      </w:r>
      <w:r>
        <w:rPr>
          <w:rFonts w:ascii="Arial" w:hAnsi="Arial" w:cs="Arial" w:eastAsiaTheme="minorEastAsia"/>
          <w:szCs w:val="21"/>
        </w:rPr>
        <w:t>吊艄作业现场应配备符合规定或标准的个人安全防护用品、救生设备、通信器材、人员坠落防护装备和呼吸保护器等，并加以维护；临水作业人员应正确穿戴救生衣、安全帽及其他劳动保护用品。</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4.2.3.2 作业现场应按规定配备船用灭火器及其它消防器材，每月进行自查和养护，保证处于正常状态。</w:t>
      </w:r>
      <w:r>
        <w:rPr>
          <w:rFonts w:hint="eastAsia" w:ascii="Arial" w:hAnsi="Arial" w:cs="Arial" w:eastAsiaTheme="minorEastAsia"/>
          <w:szCs w:val="21"/>
        </w:rPr>
        <w:t>需要烧焊或明火</w:t>
      </w:r>
      <w:r>
        <w:rPr>
          <w:rFonts w:ascii="Arial" w:hAnsi="Arial" w:cs="Arial" w:eastAsiaTheme="minorEastAsia"/>
          <w:szCs w:val="21"/>
        </w:rPr>
        <w:t>作业时，</w:t>
      </w:r>
      <w:r>
        <w:rPr>
          <w:rFonts w:hint="eastAsia" w:ascii="Arial" w:hAnsi="Arial" w:cs="Arial" w:eastAsiaTheme="minorEastAsia"/>
          <w:szCs w:val="21"/>
        </w:rPr>
        <w:t>船舶吊艄作业单位</w:t>
      </w:r>
      <w:r>
        <w:rPr>
          <w:rFonts w:ascii="Arial" w:hAnsi="Arial" w:cs="Arial" w:eastAsiaTheme="minorEastAsia"/>
          <w:szCs w:val="21"/>
        </w:rPr>
        <w:t>应事先向</w:t>
      </w:r>
      <w:r>
        <w:rPr>
          <w:rFonts w:hint="eastAsia" w:ascii="Arial" w:hAnsi="Arial" w:cs="Arial" w:eastAsiaTheme="minorEastAsia"/>
          <w:szCs w:val="21"/>
        </w:rPr>
        <w:t>相关主管机关报备或报告</w:t>
      </w:r>
      <w:r>
        <w:rPr>
          <w:rFonts w:ascii="Arial" w:hAnsi="Arial" w:cs="Arial" w:eastAsiaTheme="minorEastAsia"/>
          <w:szCs w:val="21"/>
        </w:rPr>
        <w:t>，经批准后实施。</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 xml:space="preserve">4.2.3.3 </w:t>
      </w:r>
      <w:r>
        <w:rPr>
          <w:rFonts w:hint="eastAsia" w:ascii="Arial" w:hAnsi="Arial" w:cs="Arial" w:eastAsiaTheme="minorEastAsia"/>
          <w:szCs w:val="21"/>
        </w:rPr>
        <w:t>作业平台应设置安全通道，宽度不得小于</w:t>
      </w:r>
      <w:r>
        <w:rPr>
          <w:rFonts w:ascii="Arial" w:hAnsi="Arial" w:cs="Arial" w:eastAsiaTheme="minorEastAsia"/>
          <w:szCs w:val="21"/>
        </w:rPr>
        <w:t>0.6</w:t>
      </w:r>
      <w:r>
        <w:rPr>
          <w:rFonts w:hint="eastAsia" w:ascii="Arial" w:hAnsi="Arial" w:cs="Arial" w:eastAsiaTheme="minorEastAsia"/>
          <w:szCs w:val="21"/>
        </w:rPr>
        <w:t>米以上。</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4.2.</w:t>
      </w:r>
      <w:r>
        <w:rPr>
          <w:rFonts w:hint="eastAsia" w:ascii="Arial" w:hAnsi="Arial" w:cs="Arial" w:eastAsiaTheme="minorEastAsia"/>
          <w:szCs w:val="21"/>
        </w:rPr>
        <w:t xml:space="preserve">3.4 </w:t>
      </w:r>
      <w:r>
        <w:rPr>
          <w:rFonts w:ascii="Arial" w:hAnsi="Arial" w:cs="Arial" w:eastAsiaTheme="minorEastAsia"/>
          <w:szCs w:val="21"/>
        </w:rPr>
        <w:t>室内仓库应做到通风、防腐、防火、防高温、防静电，危险品</w:t>
      </w:r>
      <w:r>
        <w:rPr>
          <w:rFonts w:hint="eastAsia" w:ascii="Arial" w:hAnsi="Arial" w:cs="Arial" w:eastAsiaTheme="minorEastAsia"/>
          <w:szCs w:val="21"/>
        </w:rPr>
        <w:t>应</w:t>
      </w:r>
      <w:r>
        <w:rPr>
          <w:rFonts w:ascii="Arial" w:hAnsi="Arial" w:cs="Arial" w:eastAsiaTheme="minorEastAsia"/>
          <w:szCs w:val="21"/>
        </w:rPr>
        <w:t>分别存放，涉及密闭空间作业</w:t>
      </w:r>
      <w:r>
        <w:rPr>
          <w:rFonts w:hint="eastAsia" w:ascii="Arial" w:hAnsi="Arial" w:cs="Arial" w:eastAsiaTheme="minorEastAsia"/>
          <w:szCs w:val="21"/>
        </w:rPr>
        <w:t>应遵守操作规程和相关安全规定</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4.2.3.</w:t>
      </w:r>
      <w:r>
        <w:rPr>
          <w:rFonts w:hint="eastAsia" w:ascii="Arial" w:hAnsi="Arial" w:cs="Arial" w:eastAsiaTheme="minorEastAsia"/>
          <w:szCs w:val="21"/>
        </w:rPr>
        <w:t xml:space="preserve">5 </w:t>
      </w:r>
      <w:r>
        <w:rPr>
          <w:rFonts w:ascii="Arial" w:hAnsi="Arial" w:cs="Arial" w:eastAsiaTheme="minorEastAsia"/>
          <w:szCs w:val="21"/>
        </w:rPr>
        <w:t>特种设备</w:t>
      </w:r>
      <w:r>
        <w:rPr>
          <w:rFonts w:hint="eastAsia" w:ascii="Arial" w:hAnsi="Arial" w:cs="Arial" w:eastAsiaTheme="minorEastAsia"/>
          <w:szCs w:val="21"/>
        </w:rPr>
        <w:t>的检验、使用、维护保养应</w:t>
      </w:r>
      <w:r>
        <w:rPr>
          <w:rFonts w:ascii="Arial" w:hAnsi="Arial" w:cs="Arial" w:eastAsiaTheme="minorEastAsia"/>
          <w:szCs w:val="21"/>
        </w:rPr>
        <w:t>应符合安全技术</w:t>
      </w:r>
      <w:r>
        <w:rPr>
          <w:rFonts w:hint="eastAsia" w:ascii="Arial" w:hAnsi="Arial" w:cs="Arial" w:eastAsiaTheme="minorEastAsia"/>
          <w:szCs w:val="21"/>
        </w:rPr>
        <w:t>规范和</w:t>
      </w:r>
      <w:r>
        <w:rPr>
          <w:rFonts w:ascii="Arial" w:hAnsi="Arial" w:cs="Arial" w:eastAsiaTheme="minorEastAsia"/>
          <w:szCs w:val="21"/>
        </w:rPr>
        <w:t>要求。氧气、乙炔等各类气瓶的存放和管理应符合相关规定。</w:t>
      </w:r>
    </w:p>
    <w:p>
      <w:pPr>
        <w:pStyle w:val="19"/>
        <w:spacing w:line="240" w:lineRule="auto"/>
        <w:ind w:left="0"/>
        <w:rPr>
          <w:rFonts w:ascii="Times New Roman"/>
          <w:b/>
          <w:bCs/>
        </w:rPr>
      </w:pPr>
      <w:r>
        <w:rPr>
          <w:rFonts w:ascii="Times New Roman"/>
          <w:b/>
          <w:bCs/>
        </w:rPr>
        <w:t>防污染条件</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4.3.</w:t>
      </w:r>
      <w:r>
        <w:rPr>
          <w:rFonts w:hint="eastAsia" w:ascii="Arial" w:hAnsi="Arial" w:cs="Arial" w:eastAsiaTheme="minorEastAsia"/>
          <w:szCs w:val="21"/>
        </w:rPr>
        <w:t>1</w:t>
      </w:r>
      <w:r>
        <w:rPr>
          <w:rFonts w:ascii="Arial" w:hAnsi="Arial" w:cs="Arial" w:eastAsiaTheme="minorEastAsia"/>
          <w:szCs w:val="21"/>
        </w:rPr>
        <w:t xml:space="preserve"> 吊艄作业单位</w:t>
      </w:r>
      <w:r>
        <w:rPr>
          <w:rFonts w:hint="eastAsia" w:ascii="Arial" w:hAnsi="Arial" w:cs="Arial" w:eastAsiaTheme="minorEastAsia"/>
          <w:szCs w:val="21"/>
        </w:rPr>
        <w:t>应参照</w:t>
      </w:r>
      <w:r>
        <w:rPr>
          <w:rFonts w:ascii="Arial" w:hAnsi="Arial" w:cs="Arial" w:eastAsiaTheme="minorEastAsia"/>
          <w:szCs w:val="21"/>
        </w:rPr>
        <w:t xml:space="preserve"> JT/T787 </w:t>
      </w:r>
      <w:r>
        <w:rPr>
          <w:rFonts w:hint="eastAsia" w:ascii="Arial" w:hAnsi="Arial" w:cs="Arial" w:eastAsiaTheme="minorEastAsia"/>
          <w:szCs w:val="21"/>
        </w:rPr>
        <w:t>中船舶修造</w:t>
      </w:r>
      <w:r>
        <w:rPr>
          <w:rFonts w:ascii="Arial" w:hAnsi="Arial" w:cs="Arial" w:eastAsiaTheme="minorEastAsia"/>
          <w:szCs w:val="21"/>
        </w:rPr>
        <w:t>要求配备防污染设施。</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4.3.</w:t>
      </w:r>
      <w:r>
        <w:rPr>
          <w:rFonts w:hint="eastAsia" w:ascii="Arial" w:hAnsi="Arial" w:cs="Arial" w:eastAsiaTheme="minorEastAsia"/>
          <w:szCs w:val="21"/>
        </w:rPr>
        <w:t>2</w:t>
      </w:r>
      <w:r>
        <w:rPr>
          <w:rFonts w:ascii="Arial" w:hAnsi="Arial" w:cs="Arial" w:eastAsiaTheme="minorEastAsia"/>
          <w:szCs w:val="21"/>
        </w:rPr>
        <w:t xml:space="preserve"> 至少设置一路能覆盖吊艄作业平台水域的视频监控，对吊艄作业全过程实时监控。鼓励设置吊艄作业水域溢油自动报警系统。</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4.3.</w:t>
      </w:r>
      <w:r>
        <w:rPr>
          <w:rFonts w:hint="eastAsia" w:ascii="Arial" w:hAnsi="Arial" w:cs="Arial" w:eastAsiaTheme="minorEastAsia"/>
          <w:szCs w:val="21"/>
        </w:rPr>
        <w:t>3</w:t>
      </w:r>
      <w:r>
        <w:rPr>
          <w:rFonts w:ascii="Arial" w:hAnsi="Arial" w:cs="Arial" w:eastAsiaTheme="minorEastAsia"/>
          <w:szCs w:val="21"/>
        </w:rPr>
        <w:t xml:space="preserve"> 吊艄作业船舶在吊艄作业平台从事拆装轴封作业的，应配备移动接液盘（桶）等装置或其他有效措施收集作业过程中滴漏的油类污染物，移动接液盘（桶）容量应考虑轴封处可能的最大漏出量。 </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4.3.</w:t>
      </w:r>
      <w:r>
        <w:rPr>
          <w:rFonts w:hint="eastAsia" w:ascii="Arial" w:hAnsi="Arial" w:cs="Arial" w:eastAsiaTheme="minorEastAsia"/>
          <w:szCs w:val="21"/>
        </w:rPr>
        <w:t>4</w:t>
      </w:r>
      <w:r>
        <w:rPr>
          <w:rFonts w:ascii="Arial" w:hAnsi="Arial" w:cs="Arial" w:eastAsiaTheme="minorEastAsia"/>
          <w:szCs w:val="21"/>
        </w:rPr>
        <w:t xml:space="preserve"> 防污染设施设备应存放在具有良好的通风、散热、防潮、隔热等功能场所内，并加以维护，保持良好可用状态。</w:t>
      </w:r>
    </w:p>
    <w:p>
      <w:pPr>
        <w:pStyle w:val="20"/>
        <w:numPr>
          <w:ilvl w:val="0"/>
          <w:numId w:val="1"/>
        </w:numPr>
        <w:spacing w:before="0" w:beforeLines="0" w:after="0" w:afterLines="0" w:line="360" w:lineRule="auto"/>
        <w:rPr>
          <w:rFonts w:ascii="Times New Roman"/>
          <w:b/>
          <w:bCs/>
          <w:szCs w:val="21"/>
        </w:rPr>
      </w:pPr>
      <w:bookmarkStart w:id="28" w:name="_Toc92978050"/>
      <w:bookmarkStart w:id="29" w:name="_Toc181632387"/>
      <w:r>
        <w:rPr>
          <w:rFonts w:ascii="Times New Roman"/>
          <w:b/>
          <w:bCs/>
          <w:szCs w:val="21"/>
        </w:rPr>
        <w:t>作业要求</w:t>
      </w:r>
      <w:bookmarkEnd w:id="28"/>
      <w:bookmarkEnd w:id="29"/>
    </w:p>
    <w:p>
      <w:pPr>
        <w:pStyle w:val="19"/>
        <w:spacing w:line="240" w:lineRule="auto"/>
        <w:ind w:left="0"/>
        <w:rPr>
          <w:rFonts w:ascii="Times New Roman"/>
          <w:b/>
          <w:bCs/>
        </w:rPr>
      </w:pPr>
      <w:bookmarkStart w:id="30" w:name="_Toc92978051"/>
      <w:r>
        <w:rPr>
          <w:rFonts w:ascii="Times New Roman"/>
          <w:b/>
          <w:bCs/>
        </w:rPr>
        <w:t>作业前准备</w:t>
      </w:r>
      <w:bookmarkEnd w:id="30"/>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5.1.</w:t>
      </w:r>
      <w:r>
        <w:rPr>
          <w:rFonts w:hint="eastAsia" w:ascii="Arial" w:hAnsi="Arial" w:cs="Arial" w:eastAsiaTheme="minorEastAsia"/>
          <w:szCs w:val="21"/>
        </w:rPr>
        <w:t xml:space="preserve">1 </w:t>
      </w:r>
      <w:r>
        <w:rPr>
          <w:rFonts w:hint="eastAsia" w:ascii="Arial" w:hAnsi="Arial" w:cs="Arial" w:eastAsiaTheme="minorEastAsia"/>
        </w:rPr>
        <w:t>被吊艄船应配合吊艄作业单位做好作业前的准备工作，</w:t>
      </w:r>
      <w:r>
        <w:rPr>
          <w:rFonts w:hint="eastAsia" w:ascii="Arial" w:hAnsi="Arial" w:cs="Arial" w:eastAsiaTheme="minorEastAsia"/>
          <w:szCs w:val="21"/>
        </w:rPr>
        <w:t>提前处于空载状态</w:t>
      </w:r>
      <w:r>
        <w:rPr>
          <w:rFonts w:ascii="Arial" w:hAnsi="Arial" w:cs="Arial" w:eastAsiaTheme="minorEastAsia"/>
          <w:szCs w:val="21"/>
        </w:rPr>
        <w:t>，</w:t>
      </w:r>
      <w:r>
        <w:rPr>
          <w:rFonts w:hint="eastAsia" w:ascii="Arial" w:hAnsi="Arial" w:cs="Arial" w:eastAsiaTheme="minorEastAsia"/>
          <w:szCs w:val="21"/>
        </w:rPr>
        <w:t>关闭电源和气源，</w:t>
      </w:r>
      <w:r>
        <w:rPr>
          <w:rFonts w:ascii="Arial" w:hAnsi="Arial" w:cs="Arial" w:eastAsiaTheme="minorEastAsia"/>
          <w:szCs w:val="21"/>
        </w:rPr>
        <w:t>并做好必要物品系固</w:t>
      </w:r>
      <w:r>
        <w:rPr>
          <w:rFonts w:hint="eastAsia"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hint="eastAsia" w:ascii="Arial" w:hAnsi="Arial" w:cs="Arial" w:eastAsiaTheme="minorEastAsia"/>
          <w:szCs w:val="21"/>
        </w:rPr>
        <w:t xml:space="preserve">5.1.2 </w:t>
      </w:r>
      <w:r>
        <w:rPr>
          <w:rFonts w:ascii="Arial" w:hAnsi="Arial" w:cs="Arial" w:eastAsiaTheme="minorEastAsia"/>
          <w:szCs w:val="21"/>
        </w:rPr>
        <w:t>被吊艄船应尽可能减少船上留存的污染物，将船舶污染物的种类、数量和位置向作业方交底，并商定双方需要落实的安全防护及防污染措施</w:t>
      </w:r>
      <w:r>
        <w:rPr>
          <w:rFonts w:hint="eastAsia"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hint="eastAsia" w:ascii="Arial" w:hAnsi="Arial" w:cs="Arial" w:eastAsiaTheme="minorEastAsia"/>
          <w:szCs w:val="21"/>
        </w:rPr>
        <w:t>5.1.3 应确认安全防污染设施设备均</w:t>
      </w:r>
      <w:r>
        <w:rPr>
          <w:rFonts w:ascii="Arial" w:hAnsi="Arial" w:cs="Arial" w:eastAsiaTheme="minorEastAsia"/>
          <w:szCs w:val="21"/>
        </w:rPr>
        <w:t>处于良好状态</w:t>
      </w:r>
      <w:r>
        <w:rPr>
          <w:rFonts w:hint="eastAsia" w:ascii="Arial" w:hAnsi="Arial" w:cs="Arial" w:eastAsiaTheme="minorEastAsia"/>
          <w:szCs w:val="21"/>
        </w:rPr>
        <w:t>，明火作业用</w:t>
      </w:r>
      <w:r>
        <w:rPr>
          <w:rFonts w:ascii="Arial" w:hAnsi="Arial" w:cs="Arial" w:eastAsiaTheme="minorEastAsia"/>
          <w:szCs w:val="21"/>
        </w:rPr>
        <w:t>气瓶及橡胶气管带</w:t>
      </w:r>
      <w:r>
        <w:rPr>
          <w:rFonts w:hint="eastAsia" w:ascii="Arial" w:hAnsi="Arial" w:cs="Arial" w:eastAsiaTheme="minorEastAsia"/>
          <w:szCs w:val="21"/>
        </w:rPr>
        <w:t>无气体泄露，焊接设备无漏电</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5.1.4</w:t>
      </w:r>
      <w:r>
        <w:rPr>
          <w:rFonts w:hint="eastAsia" w:ascii="Arial" w:hAnsi="Arial" w:cs="Arial" w:eastAsiaTheme="minorEastAsia"/>
          <w:szCs w:val="21"/>
        </w:rPr>
        <w:t xml:space="preserve"> </w:t>
      </w:r>
      <w:r>
        <w:rPr>
          <w:rFonts w:ascii="Arial" w:hAnsi="Arial" w:cs="Arial" w:eastAsiaTheme="minorEastAsia"/>
          <w:szCs w:val="21"/>
        </w:rPr>
        <w:t>作业平台围挡内的甲板排水孔应保持堵塞状态</w:t>
      </w:r>
      <w:r>
        <w:rPr>
          <w:rFonts w:hint="eastAsia" w:ascii="Arial" w:hAnsi="Arial" w:cs="Arial" w:eastAsiaTheme="minorEastAsia"/>
          <w:szCs w:val="21"/>
        </w:rPr>
        <w:t>，吸油索、围油栏应布设完成</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5.1.5 应在船舶起吊成功并固稳后，将移动接液盘（桶）等装置</w:t>
      </w:r>
      <w:r>
        <w:rPr>
          <w:rFonts w:hint="eastAsia" w:ascii="Arial" w:hAnsi="Arial" w:cs="Arial" w:eastAsiaTheme="minorEastAsia"/>
          <w:szCs w:val="21"/>
        </w:rPr>
        <w:t>放置于需修理</w:t>
      </w:r>
      <w:r>
        <w:rPr>
          <w:rFonts w:ascii="Arial" w:hAnsi="Arial" w:cs="Arial" w:eastAsiaTheme="minorEastAsia"/>
          <w:szCs w:val="21"/>
        </w:rPr>
        <w:t>的螺旋桨下方</w:t>
      </w:r>
      <w:r>
        <w:rPr>
          <w:rFonts w:hint="eastAsia" w:ascii="Arial" w:hAnsi="Arial" w:cs="Arial" w:eastAsiaTheme="minorEastAsia"/>
          <w:szCs w:val="21"/>
        </w:rPr>
        <w:t>。</w:t>
      </w:r>
    </w:p>
    <w:p>
      <w:pPr>
        <w:pStyle w:val="19"/>
        <w:spacing w:line="240" w:lineRule="auto"/>
        <w:ind w:left="0"/>
        <w:rPr>
          <w:rFonts w:ascii="Times New Roman"/>
          <w:b/>
          <w:bCs/>
        </w:rPr>
      </w:pPr>
      <w:bookmarkStart w:id="31" w:name="_Toc92978052"/>
      <w:r>
        <w:rPr>
          <w:rFonts w:ascii="Times New Roman"/>
          <w:b/>
          <w:bCs/>
        </w:rPr>
        <w:t>作业期间</w:t>
      </w:r>
      <w:bookmarkEnd w:id="31"/>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1 </w:t>
      </w:r>
      <w:r>
        <w:rPr>
          <w:rFonts w:ascii="Arial" w:hAnsi="Arial" w:cs="Arial" w:eastAsiaTheme="minorEastAsia"/>
          <w:szCs w:val="21"/>
        </w:rPr>
        <w:t>吊艄作业期间，任何人员发现违章作业行为均应立即制止，并在相关行为完全纠正后再行作业。</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2 </w:t>
      </w:r>
      <w:r>
        <w:rPr>
          <w:rFonts w:ascii="Arial" w:hAnsi="Arial" w:cs="Arial" w:eastAsiaTheme="minorEastAsia"/>
          <w:szCs w:val="21"/>
        </w:rPr>
        <w:t>作业期间发现有污油滴漏在移动接液盘（桶）外作业平台</w:t>
      </w:r>
      <w:r>
        <w:rPr>
          <w:rFonts w:hint="eastAsia" w:ascii="Arial" w:hAnsi="Arial" w:cs="Arial" w:eastAsiaTheme="minorEastAsia"/>
          <w:szCs w:val="21"/>
        </w:rPr>
        <w:t>或者水面</w:t>
      </w:r>
      <w:r>
        <w:rPr>
          <w:rFonts w:ascii="Arial" w:hAnsi="Arial" w:cs="Arial" w:eastAsiaTheme="minorEastAsia"/>
          <w:szCs w:val="21"/>
        </w:rPr>
        <w:t>上的，应当立即清除；清除过程使用的抹布</w:t>
      </w:r>
      <w:r>
        <w:rPr>
          <w:rFonts w:hint="eastAsia" w:ascii="Arial" w:hAnsi="Arial" w:cs="Arial" w:eastAsiaTheme="minorEastAsia"/>
          <w:szCs w:val="21"/>
        </w:rPr>
        <w:t>、吸油毡</w:t>
      </w:r>
      <w:r>
        <w:rPr>
          <w:rFonts w:ascii="Arial" w:hAnsi="Arial" w:cs="Arial" w:eastAsiaTheme="minorEastAsia"/>
          <w:szCs w:val="21"/>
        </w:rPr>
        <w:t>等工具应当收集后回收处理。吊艄时，如果作业平台上出现大面积油污或油渍，应停止吊艄等相关作业</w:t>
      </w:r>
      <w:r>
        <w:rPr>
          <w:rFonts w:hint="eastAsia"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3 </w:t>
      </w:r>
      <w:r>
        <w:rPr>
          <w:rFonts w:ascii="Arial" w:hAnsi="Arial" w:cs="Arial" w:eastAsiaTheme="minorEastAsia"/>
          <w:szCs w:val="21"/>
        </w:rPr>
        <w:t>船用起重机作业半径内严禁有人。</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4 </w:t>
      </w:r>
      <w:r>
        <w:rPr>
          <w:rFonts w:ascii="Arial" w:hAnsi="Arial" w:cs="Arial" w:eastAsiaTheme="minorEastAsia"/>
          <w:szCs w:val="21"/>
        </w:rPr>
        <w:t>明火作业前应以明火作业点为中心，设置10m为半径，向上2m，向下至平台或甲板的柱形安全空间，该空间应通风良好</w:t>
      </w:r>
      <w:r>
        <w:rPr>
          <w:rFonts w:hint="eastAsia" w:ascii="Arial" w:hAnsi="Arial" w:cs="Arial" w:eastAsiaTheme="minorEastAsia"/>
          <w:szCs w:val="21"/>
        </w:rPr>
        <w:t>，</w:t>
      </w:r>
      <w:r>
        <w:rPr>
          <w:rFonts w:ascii="Arial" w:hAnsi="Arial" w:cs="Arial" w:eastAsiaTheme="minorEastAsia"/>
          <w:szCs w:val="21"/>
        </w:rPr>
        <w:t>无易燃易爆货物或可能产生易燃易爆气体或粉尘的货物。</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5 </w:t>
      </w:r>
      <w:r>
        <w:rPr>
          <w:rFonts w:ascii="Arial" w:hAnsi="Arial" w:cs="Arial" w:eastAsiaTheme="minorEastAsia"/>
          <w:szCs w:val="21"/>
        </w:rPr>
        <w:t>明火作业期间，</w:t>
      </w:r>
      <w:r>
        <w:rPr>
          <w:rFonts w:hint="eastAsia" w:ascii="Arial" w:hAnsi="Arial" w:cs="Arial" w:eastAsiaTheme="minorEastAsia"/>
          <w:szCs w:val="21"/>
        </w:rPr>
        <w:t>应</w:t>
      </w:r>
      <w:r>
        <w:rPr>
          <w:rFonts w:ascii="Arial" w:hAnsi="Arial" w:cs="Arial" w:eastAsiaTheme="minorEastAsia"/>
          <w:szCs w:val="21"/>
        </w:rPr>
        <w:t>落实防火防爆措施，作业完毕后彻底检查清理现场。</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6 </w:t>
      </w:r>
      <w:r>
        <w:rPr>
          <w:rFonts w:ascii="Arial" w:hAnsi="Arial" w:cs="Arial" w:eastAsiaTheme="minorEastAsia"/>
          <w:szCs w:val="21"/>
        </w:rPr>
        <w:t>作业期间</w:t>
      </w:r>
      <w:r>
        <w:rPr>
          <w:rFonts w:hint="eastAsia" w:ascii="Arial" w:hAnsi="Arial" w:cs="Arial" w:eastAsiaTheme="minorEastAsia"/>
          <w:szCs w:val="21"/>
        </w:rPr>
        <w:t>应实时检查围油栏</w:t>
      </w:r>
      <w:r>
        <w:rPr>
          <w:rFonts w:ascii="Arial" w:hAnsi="Arial" w:cs="Arial" w:eastAsiaTheme="minorEastAsia"/>
          <w:szCs w:val="21"/>
        </w:rPr>
        <w:t>及其他防污染设施运行情况，如发生突发性事件</w:t>
      </w:r>
      <w:r>
        <w:rPr>
          <w:rFonts w:hint="eastAsia" w:ascii="Arial" w:hAnsi="Arial" w:cs="Arial" w:eastAsiaTheme="minorEastAsia"/>
          <w:szCs w:val="21"/>
        </w:rPr>
        <w:t>或安全和防污染隐患</w:t>
      </w:r>
      <w:r>
        <w:rPr>
          <w:rFonts w:ascii="Arial" w:hAnsi="Arial" w:cs="Arial" w:eastAsiaTheme="minorEastAsia"/>
          <w:szCs w:val="21"/>
        </w:rPr>
        <w:t>，吊艄作业单位应立即采取应急措施。</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5.2.</w:t>
      </w:r>
      <w:r>
        <w:rPr>
          <w:rFonts w:hint="eastAsia" w:ascii="Arial" w:hAnsi="Arial" w:cs="Arial" w:eastAsiaTheme="minorEastAsia"/>
          <w:szCs w:val="21"/>
        </w:rPr>
        <w:t xml:space="preserve">7 </w:t>
      </w:r>
      <w:r>
        <w:rPr>
          <w:rFonts w:ascii="Arial" w:hAnsi="Arial" w:cs="Arial" w:eastAsiaTheme="minorEastAsia"/>
          <w:szCs w:val="21"/>
        </w:rPr>
        <w:t>吊艄作业</w:t>
      </w:r>
      <w:r>
        <w:rPr>
          <w:rFonts w:hint="eastAsia" w:ascii="Arial" w:hAnsi="Arial" w:cs="Arial" w:eastAsiaTheme="minorEastAsia"/>
          <w:szCs w:val="21"/>
        </w:rPr>
        <w:t>单位应收集船舶吊艄作业</w:t>
      </w:r>
      <w:r>
        <w:rPr>
          <w:rFonts w:ascii="Arial" w:hAnsi="Arial" w:cs="Arial" w:eastAsiaTheme="minorEastAsia"/>
          <w:szCs w:val="21"/>
        </w:rPr>
        <w:t>过程中产生的垃圾</w:t>
      </w:r>
      <w:r>
        <w:rPr>
          <w:rFonts w:hint="eastAsia" w:ascii="Arial" w:hAnsi="Arial" w:cs="Arial" w:eastAsiaTheme="minorEastAsia"/>
          <w:szCs w:val="21"/>
        </w:rPr>
        <w:t>、</w:t>
      </w:r>
      <w:r>
        <w:rPr>
          <w:rFonts w:ascii="Arial" w:hAnsi="Arial" w:cs="Arial" w:eastAsiaTheme="minorEastAsia"/>
          <w:szCs w:val="21"/>
        </w:rPr>
        <w:t>油污水</w:t>
      </w:r>
      <w:r>
        <w:rPr>
          <w:rFonts w:hint="eastAsia" w:ascii="Arial" w:hAnsi="Arial" w:cs="Arial" w:eastAsiaTheme="minorEastAsia"/>
          <w:szCs w:val="21"/>
        </w:rPr>
        <w:t>、</w:t>
      </w:r>
      <w:r>
        <w:rPr>
          <w:rFonts w:ascii="Arial" w:hAnsi="Arial" w:cs="Arial" w:eastAsiaTheme="minorEastAsia"/>
          <w:szCs w:val="21"/>
        </w:rPr>
        <w:t>其他废弃物</w:t>
      </w:r>
      <w:r>
        <w:rPr>
          <w:rFonts w:hint="eastAsia" w:ascii="Arial" w:hAnsi="Arial" w:cs="Arial" w:eastAsiaTheme="minorEastAsia"/>
          <w:szCs w:val="21"/>
        </w:rPr>
        <w:t>等，并按要求处理。</w:t>
      </w:r>
    </w:p>
    <w:p>
      <w:pPr>
        <w:pStyle w:val="19"/>
        <w:spacing w:line="240" w:lineRule="auto"/>
        <w:ind w:left="0"/>
        <w:rPr>
          <w:rFonts w:ascii="Times New Roman"/>
          <w:b/>
          <w:bCs/>
        </w:rPr>
      </w:pPr>
      <w:r>
        <w:rPr>
          <w:rFonts w:ascii="Times New Roman"/>
          <w:b/>
          <w:bCs/>
        </w:rPr>
        <w:t>作业结束</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5.3.1 船舶吊艄作业完成后，应将吊钩起升至安全高度。</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5.3.2 吊艄作业结束后</w:t>
      </w:r>
      <w:r>
        <w:rPr>
          <w:rFonts w:hint="eastAsia" w:ascii="Arial" w:hAnsi="Arial" w:cs="Arial" w:eastAsiaTheme="minorEastAsia"/>
          <w:szCs w:val="21"/>
        </w:rPr>
        <w:t>，吊艄作业单位应对现场进行检查、复核，确保现场无污染物入水，</w:t>
      </w:r>
      <w:r>
        <w:rPr>
          <w:rFonts w:ascii="Arial" w:hAnsi="Arial" w:cs="Arial" w:eastAsiaTheme="minorEastAsia"/>
          <w:szCs w:val="21"/>
        </w:rPr>
        <w:t>及时</w:t>
      </w:r>
      <w:r>
        <w:rPr>
          <w:rFonts w:hint="eastAsia" w:ascii="Arial" w:hAnsi="Arial" w:cs="Arial" w:eastAsiaTheme="minorEastAsia"/>
          <w:szCs w:val="21"/>
        </w:rPr>
        <w:t>处理收集到的船舶</w:t>
      </w:r>
      <w:r>
        <w:rPr>
          <w:rFonts w:ascii="Arial" w:hAnsi="Arial" w:cs="Arial" w:eastAsiaTheme="minorEastAsia"/>
          <w:szCs w:val="21"/>
        </w:rPr>
        <w:t>污染物，</w:t>
      </w:r>
      <w:r>
        <w:rPr>
          <w:rFonts w:hint="eastAsia" w:ascii="Arial" w:hAnsi="Arial" w:cs="Arial" w:eastAsiaTheme="minorEastAsia"/>
          <w:szCs w:val="21"/>
        </w:rPr>
        <w:t>并按照规定使用主管机关指定的信息系统实现污染物闭环处置</w:t>
      </w:r>
      <w:r>
        <w:rPr>
          <w:rFonts w:ascii="Arial" w:hAnsi="Arial" w:cs="Arial" w:eastAsiaTheme="minorEastAsia"/>
          <w:szCs w:val="21"/>
        </w:rPr>
        <w:t>。</w:t>
      </w:r>
    </w:p>
    <w:p>
      <w:pPr>
        <w:pStyle w:val="17"/>
        <w:spacing w:after="0" w:line="300" w:lineRule="auto"/>
        <w:ind w:firstLine="0" w:firstLineChars="0"/>
        <w:rPr>
          <w:rFonts w:ascii="Arial" w:hAnsi="Arial" w:cs="Arial" w:eastAsiaTheme="minorEastAsia"/>
          <w:szCs w:val="21"/>
        </w:rPr>
      </w:pPr>
      <w:r>
        <w:rPr>
          <w:rFonts w:hint="eastAsia" w:ascii="Arial" w:hAnsi="Arial" w:cs="Arial" w:eastAsiaTheme="minorEastAsia"/>
          <w:szCs w:val="21"/>
        </w:rPr>
        <w:t xml:space="preserve">5.3.3 </w:t>
      </w:r>
      <w:r>
        <w:rPr>
          <w:rFonts w:ascii="Arial" w:hAnsi="Arial" w:cs="Arial" w:eastAsiaTheme="minorEastAsia"/>
          <w:szCs w:val="21"/>
        </w:rPr>
        <w:t>吊艄作业</w:t>
      </w:r>
      <w:r>
        <w:rPr>
          <w:rFonts w:hint="eastAsia" w:ascii="Arial" w:hAnsi="Arial" w:cs="Arial" w:eastAsiaTheme="minorEastAsia"/>
          <w:szCs w:val="21"/>
        </w:rPr>
        <w:t>单位</w:t>
      </w:r>
      <w:r>
        <w:rPr>
          <w:rFonts w:ascii="Arial" w:hAnsi="Arial" w:cs="Arial" w:eastAsiaTheme="minorEastAsia"/>
          <w:szCs w:val="21"/>
        </w:rPr>
        <w:t>应</w:t>
      </w:r>
      <w:r>
        <w:rPr>
          <w:rFonts w:hint="eastAsia" w:ascii="Arial" w:hAnsi="Arial" w:cs="Arial" w:eastAsiaTheme="minorEastAsia"/>
          <w:szCs w:val="21"/>
        </w:rPr>
        <w:t>根据实际情况制定并记录污染物处理记录簿。</w:t>
      </w:r>
    </w:p>
    <w:p>
      <w:pPr>
        <w:pStyle w:val="17"/>
        <w:spacing w:after="0" w:line="300" w:lineRule="auto"/>
        <w:ind w:firstLine="0" w:firstLineChars="0"/>
        <w:rPr>
          <w:rFonts w:ascii="Arial" w:hAnsi="Arial" w:cs="Arial" w:eastAsiaTheme="minorEastAsia"/>
          <w:szCs w:val="21"/>
        </w:rPr>
      </w:pPr>
      <w:r>
        <w:rPr>
          <w:rFonts w:ascii="Arial" w:hAnsi="Arial" w:cs="Arial" w:eastAsiaTheme="minorEastAsia"/>
          <w:szCs w:val="21"/>
        </w:rPr>
        <w:t>5.3</w:t>
      </w:r>
      <w:r>
        <w:rPr>
          <w:rFonts w:hint="eastAsia" w:ascii="Arial" w:hAnsi="Arial" w:cs="Arial" w:eastAsiaTheme="minorEastAsia"/>
          <w:szCs w:val="21"/>
        </w:rPr>
        <w:t>.4</w:t>
      </w:r>
      <w:r>
        <w:rPr>
          <w:rFonts w:ascii="Arial" w:hAnsi="Arial" w:cs="Arial" w:eastAsiaTheme="minorEastAsia"/>
          <w:szCs w:val="21"/>
        </w:rPr>
        <w:t xml:space="preserve"> 船舶吊艄作业完成后，作业船舶在确认安全后驶离吊艄水域。</w:t>
      </w:r>
    </w:p>
    <w:p>
      <w:pPr>
        <w:pStyle w:val="17"/>
        <w:spacing w:line="360" w:lineRule="auto"/>
        <w:rPr>
          <w:rFonts w:ascii="Times New Roman"/>
          <w:szCs w:val="21"/>
        </w:rPr>
      </w:pPr>
    </w:p>
    <w:p/>
    <w:sectPr>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9377639"/>
      <w:docPartObj>
        <w:docPartGallery w:val="AutoText"/>
      </w:docPartObj>
    </w:sdtPr>
    <w:sdtContent>
      <w:p>
        <w:pPr>
          <w:pStyle w:val="6"/>
          <w:jc w:val="right"/>
        </w:pPr>
        <w:r>
          <w:fldChar w:fldCharType="begin"/>
        </w:r>
        <w:r>
          <w:instrText xml:space="preserve">PAGE   \* MERGEFORMAT</w:instrText>
        </w:r>
        <w:r>
          <w:fldChar w:fldCharType="separate"/>
        </w:r>
        <w:r>
          <w:rPr>
            <w:lang w:val="zh-CN"/>
          </w:rPr>
          <w:t>2</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wordWrap w:val="0"/>
      <w:jc w:val="right"/>
    </w:pPr>
    <w:bookmarkStart w:id="32" w:name="_Hlk181631955"/>
    <w:bookmarkStart w:id="33" w:name="_Hlk181631954"/>
    <w:r>
      <w:rPr>
        <w:rFonts w:hint="eastAsia"/>
      </w:rPr>
      <w:t>DB32/T XXXX—20XX</w:t>
    </w:r>
    <w:bookmarkEnd w:id="32"/>
    <w:bookmarkEnd w:id="3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4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lOWM2MWFmNTI5MTVkYzRhYzUzOTQ4YjYyZWU2MmUifQ=="/>
  </w:docVars>
  <w:rsids>
    <w:rsidRoot w:val="004D45A9"/>
    <w:rsid w:val="000E6ABC"/>
    <w:rsid w:val="000F0FAF"/>
    <w:rsid w:val="000F6685"/>
    <w:rsid w:val="00132FA1"/>
    <w:rsid w:val="001A0D70"/>
    <w:rsid w:val="001B40C8"/>
    <w:rsid w:val="001C627A"/>
    <w:rsid w:val="001F20B7"/>
    <w:rsid w:val="002043CE"/>
    <w:rsid w:val="00207632"/>
    <w:rsid w:val="00210A66"/>
    <w:rsid w:val="00216C38"/>
    <w:rsid w:val="00222D38"/>
    <w:rsid w:val="00227D2E"/>
    <w:rsid w:val="00242810"/>
    <w:rsid w:val="00273248"/>
    <w:rsid w:val="0028007F"/>
    <w:rsid w:val="002960F0"/>
    <w:rsid w:val="002A0107"/>
    <w:rsid w:val="0033328B"/>
    <w:rsid w:val="00344B6E"/>
    <w:rsid w:val="003535B8"/>
    <w:rsid w:val="00357873"/>
    <w:rsid w:val="003713A9"/>
    <w:rsid w:val="003812FB"/>
    <w:rsid w:val="00383472"/>
    <w:rsid w:val="0038635F"/>
    <w:rsid w:val="003B5B79"/>
    <w:rsid w:val="003F7860"/>
    <w:rsid w:val="0042707E"/>
    <w:rsid w:val="00436989"/>
    <w:rsid w:val="0046303E"/>
    <w:rsid w:val="00491127"/>
    <w:rsid w:val="004A31D1"/>
    <w:rsid w:val="004D45A9"/>
    <w:rsid w:val="00531D16"/>
    <w:rsid w:val="00533EB2"/>
    <w:rsid w:val="005364EB"/>
    <w:rsid w:val="00580A31"/>
    <w:rsid w:val="005A4048"/>
    <w:rsid w:val="005E6CEA"/>
    <w:rsid w:val="006033DC"/>
    <w:rsid w:val="006140A4"/>
    <w:rsid w:val="0062060B"/>
    <w:rsid w:val="00634838"/>
    <w:rsid w:val="006669B0"/>
    <w:rsid w:val="00666F00"/>
    <w:rsid w:val="006946E7"/>
    <w:rsid w:val="006C3BFF"/>
    <w:rsid w:val="006C53B2"/>
    <w:rsid w:val="006E0B1E"/>
    <w:rsid w:val="00755F20"/>
    <w:rsid w:val="00791118"/>
    <w:rsid w:val="00795032"/>
    <w:rsid w:val="007B5D05"/>
    <w:rsid w:val="007C5DBB"/>
    <w:rsid w:val="007E4AA1"/>
    <w:rsid w:val="008031B7"/>
    <w:rsid w:val="00833362"/>
    <w:rsid w:val="00855973"/>
    <w:rsid w:val="008647E5"/>
    <w:rsid w:val="008B1D41"/>
    <w:rsid w:val="008D17EA"/>
    <w:rsid w:val="008D48E8"/>
    <w:rsid w:val="009024F3"/>
    <w:rsid w:val="009227A9"/>
    <w:rsid w:val="00931FBE"/>
    <w:rsid w:val="00976DCC"/>
    <w:rsid w:val="00983537"/>
    <w:rsid w:val="00991572"/>
    <w:rsid w:val="0099157C"/>
    <w:rsid w:val="009C67BE"/>
    <w:rsid w:val="009C721C"/>
    <w:rsid w:val="009C74D1"/>
    <w:rsid w:val="009E4D02"/>
    <w:rsid w:val="00A10BEA"/>
    <w:rsid w:val="00A41273"/>
    <w:rsid w:val="00A63CFE"/>
    <w:rsid w:val="00AD56AC"/>
    <w:rsid w:val="00AD67BF"/>
    <w:rsid w:val="00AE2D34"/>
    <w:rsid w:val="00AF25AA"/>
    <w:rsid w:val="00B146B0"/>
    <w:rsid w:val="00B14FB3"/>
    <w:rsid w:val="00B3020D"/>
    <w:rsid w:val="00B31A7B"/>
    <w:rsid w:val="00B530DA"/>
    <w:rsid w:val="00B86C1B"/>
    <w:rsid w:val="00BB3EA2"/>
    <w:rsid w:val="00BD27FF"/>
    <w:rsid w:val="00BD5723"/>
    <w:rsid w:val="00C00F28"/>
    <w:rsid w:val="00C27F32"/>
    <w:rsid w:val="00C448C1"/>
    <w:rsid w:val="00C474E6"/>
    <w:rsid w:val="00C70CEE"/>
    <w:rsid w:val="00C80A20"/>
    <w:rsid w:val="00CB3A25"/>
    <w:rsid w:val="00CE2BAF"/>
    <w:rsid w:val="00CE46C0"/>
    <w:rsid w:val="00CF27B9"/>
    <w:rsid w:val="00D76279"/>
    <w:rsid w:val="00D8480D"/>
    <w:rsid w:val="00DB273C"/>
    <w:rsid w:val="00DB3FA2"/>
    <w:rsid w:val="00DD76D6"/>
    <w:rsid w:val="00DF6180"/>
    <w:rsid w:val="00E10CBD"/>
    <w:rsid w:val="00E756FA"/>
    <w:rsid w:val="00E76765"/>
    <w:rsid w:val="00E91627"/>
    <w:rsid w:val="00F11C80"/>
    <w:rsid w:val="00F13141"/>
    <w:rsid w:val="00F34015"/>
    <w:rsid w:val="00FA224C"/>
    <w:rsid w:val="00FA6F62"/>
    <w:rsid w:val="00FC3C06"/>
    <w:rsid w:val="00FD44C4"/>
    <w:rsid w:val="19D41D09"/>
    <w:rsid w:val="367F76DC"/>
    <w:rsid w:val="4FED7C9C"/>
    <w:rsid w:val="5BBF9063"/>
    <w:rsid w:val="6CF1662F"/>
    <w:rsid w:val="77FD6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unhideWhenUsed/>
    <w:qFormat/>
    <w:uiPriority w:val="99"/>
    <w:pPr>
      <w:jc w:val="left"/>
    </w:pPr>
  </w:style>
  <w:style w:type="paragraph" w:styleId="4">
    <w:name w:val="toc 3"/>
    <w:basedOn w:val="1"/>
    <w:next w:val="1"/>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5">
    <w:name w:val="Balloon Text"/>
    <w:basedOn w:val="1"/>
    <w:link w:val="26"/>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style>
  <w:style w:type="paragraph" w:styleId="9">
    <w:name w:val="toc 2"/>
    <w:basedOn w:val="1"/>
    <w:next w:val="1"/>
    <w:unhideWhenUsed/>
    <w:qFormat/>
    <w:uiPriority w:val="39"/>
    <w:pPr>
      <w:widowControl/>
      <w:tabs>
        <w:tab w:val="right" w:leader="dot" w:pos="8296"/>
      </w:tabs>
      <w:spacing w:after="0" w:line="360" w:lineRule="auto"/>
      <w:jc w:val="left"/>
    </w:pPr>
    <w:rPr>
      <w:rFonts w:asciiTheme="minorHAnsi" w:hAnsiTheme="minorHAnsi" w:eastAsiaTheme="minorEastAsia"/>
      <w:kern w:val="0"/>
      <w:sz w:val="22"/>
      <w:szCs w:val="22"/>
    </w:rPr>
  </w:style>
  <w:style w:type="paragraph" w:styleId="10">
    <w:name w:val="annotation subject"/>
    <w:basedOn w:val="3"/>
    <w:next w:val="3"/>
    <w:link w:val="25"/>
    <w:semiHidden/>
    <w:unhideWhenUsed/>
    <w:qFormat/>
    <w:uiPriority w:val="99"/>
    <w:rPr>
      <w:b/>
      <w:bCs/>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paragraph" w:customStyle="1" w:styleId="17">
    <w:name w:val="段"/>
    <w:link w:val="18"/>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character" w:customStyle="1" w:styleId="18">
    <w:name w:val="段 Char"/>
    <w:link w:val="17"/>
    <w:qFormat/>
    <w:uiPriority w:val="0"/>
    <w:rPr>
      <w:rFonts w:ascii="宋体" w:hAnsi="Times New Roman" w:eastAsia="宋体" w:cs="Times New Roman"/>
      <w:kern w:val="0"/>
      <w:szCs w:val="20"/>
    </w:rPr>
  </w:style>
  <w:style w:type="paragraph" w:customStyle="1" w:styleId="19">
    <w:name w:val="一级条标题"/>
    <w:next w:val="17"/>
    <w:qFormat/>
    <w:uiPriority w:val="0"/>
    <w:pPr>
      <w:numPr>
        <w:ilvl w:val="1"/>
        <w:numId w:val="1"/>
      </w:numPr>
      <w:spacing w:before="156" w:beforeLines="50" w:after="156" w:afterLines="50" w:line="278" w:lineRule="auto"/>
      <w:outlineLvl w:val="2"/>
    </w:pPr>
    <w:rPr>
      <w:rFonts w:ascii="黑体" w:hAnsi="Times New Roman" w:eastAsia="黑体" w:cs="Times New Roman"/>
      <w:sz w:val="21"/>
      <w:szCs w:val="21"/>
      <w:lang w:val="en-US" w:eastAsia="zh-CN" w:bidi="ar-SA"/>
    </w:rPr>
  </w:style>
  <w:style w:type="paragraph" w:customStyle="1" w:styleId="20">
    <w:name w:val="章标题"/>
    <w:next w:val="17"/>
    <w:qFormat/>
    <w:uiPriority w:val="99"/>
    <w:pPr>
      <w:tabs>
        <w:tab w:val="left" w:pos="360"/>
      </w:tabs>
      <w:spacing w:before="312" w:beforeLines="100" w:after="312" w:afterLines="100" w:line="278" w:lineRule="auto"/>
      <w:jc w:val="both"/>
      <w:outlineLvl w:val="1"/>
    </w:pPr>
    <w:rPr>
      <w:rFonts w:ascii="黑体" w:hAnsi="Times New Roman" w:eastAsia="黑体" w:cs="Times New Roman"/>
      <w:sz w:val="21"/>
      <w:lang w:val="en-US" w:eastAsia="zh-CN" w:bidi="ar-SA"/>
    </w:rPr>
  </w:style>
  <w:style w:type="paragraph" w:customStyle="1" w:styleId="21">
    <w:name w:val="目次、标准名称标题"/>
    <w:basedOn w:val="1"/>
    <w:next w:val="1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2">
    <w:name w:val="Default"/>
    <w:link w:val="23"/>
    <w:qFormat/>
    <w:uiPriority w:val="0"/>
    <w:pPr>
      <w:widowControl w:val="0"/>
      <w:autoSpaceDE w:val="0"/>
      <w:autoSpaceDN w:val="0"/>
      <w:adjustRightInd w:val="0"/>
      <w:spacing w:after="160" w:line="278" w:lineRule="auto"/>
    </w:pPr>
    <w:rPr>
      <w:rFonts w:ascii="黑体" w:hAnsi="Calibri" w:eastAsia="黑体" w:cs="黑体"/>
      <w:color w:val="000000"/>
      <w:sz w:val="24"/>
      <w:szCs w:val="24"/>
      <w:lang w:val="en-US" w:eastAsia="zh-CN" w:bidi="ar-SA"/>
    </w:rPr>
  </w:style>
  <w:style w:type="character" w:customStyle="1" w:styleId="23">
    <w:name w:val="Default Char"/>
    <w:link w:val="22"/>
    <w:qFormat/>
    <w:uiPriority w:val="0"/>
    <w:rPr>
      <w:rFonts w:ascii="黑体" w:hAnsi="Calibri" w:eastAsia="黑体" w:cs="黑体"/>
      <w:color w:val="000000"/>
      <w:kern w:val="0"/>
      <w:sz w:val="24"/>
      <w:szCs w:val="24"/>
    </w:rPr>
  </w:style>
  <w:style w:type="character" w:customStyle="1" w:styleId="24">
    <w:name w:val="批注文字 字符"/>
    <w:basedOn w:val="12"/>
    <w:link w:val="3"/>
    <w:qFormat/>
    <w:uiPriority w:val="99"/>
    <w:rPr>
      <w:rFonts w:ascii="Times New Roman" w:hAnsi="Times New Roman" w:eastAsia="宋体" w:cs="Times New Roman"/>
      <w:szCs w:val="24"/>
    </w:rPr>
  </w:style>
  <w:style w:type="character" w:customStyle="1" w:styleId="25">
    <w:name w:val="批注主题 字符"/>
    <w:basedOn w:val="24"/>
    <w:link w:val="10"/>
    <w:semiHidden/>
    <w:qFormat/>
    <w:uiPriority w:val="99"/>
    <w:rPr>
      <w:rFonts w:ascii="Times New Roman" w:hAnsi="Times New Roman" w:eastAsia="宋体" w:cs="Times New Roman"/>
      <w:b/>
      <w:bCs/>
      <w:szCs w:val="24"/>
    </w:rPr>
  </w:style>
  <w:style w:type="character" w:customStyle="1" w:styleId="26">
    <w:name w:val="批注框文本 字符"/>
    <w:basedOn w:val="12"/>
    <w:link w:val="5"/>
    <w:semiHidden/>
    <w:qFormat/>
    <w:uiPriority w:val="99"/>
    <w:rPr>
      <w:rFonts w:ascii="Times New Roman" w:hAnsi="Times New Roman" w:eastAsia="宋体" w:cs="Times New Roman"/>
      <w:sz w:val="18"/>
      <w:szCs w:val="18"/>
    </w:rPr>
  </w:style>
  <w:style w:type="paragraph" w:customStyle="1" w:styleId="27">
    <w:name w:val="修订1"/>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paragraph" w:customStyle="1" w:styleId="28">
    <w:name w:val="修订2"/>
    <w:hidden/>
    <w:unhideWhenUsed/>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29">
    <w:name w:val="未处理的提及1"/>
    <w:basedOn w:val="12"/>
    <w:semiHidden/>
    <w:unhideWhenUsed/>
    <w:qFormat/>
    <w:uiPriority w:val="99"/>
    <w:rPr>
      <w:color w:val="605E5C"/>
      <w:shd w:val="clear" w:color="auto" w:fill="E1DFDD"/>
    </w:rPr>
  </w:style>
  <w:style w:type="paragraph" w:customStyle="1" w:styleId="30">
    <w:name w:val="其他标准称谓"/>
    <w:next w:val="1"/>
    <w:qFormat/>
    <w:uiPriority w:val="0"/>
    <w:pPr>
      <w:framePr w:hSpace="181" w:vSpace="181" w:wrap="around" w:vAnchor="page" w:hAnchor="page" w:x="1419" w:y="2286" w:anchorLock="1"/>
      <w:spacing w:after="0" w:line="0" w:lineRule="atLeast"/>
      <w:jc w:val="distribute"/>
    </w:pPr>
    <w:rPr>
      <w:rFonts w:ascii="黑体" w:hAnsi="宋体" w:eastAsia="黑体" w:cs="Times New Roman"/>
      <w:spacing w:val="-40"/>
      <w:sz w:val="48"/>
      <w:szCs w:val="52"/>
      <w:lang w:val="en-US" w:eastAsia="zh-CN" w:bidi="ar-SA"/>
    </w:rPr>
  </w:style>
  <w:style w:type="paragraph" w:customStyle="1" w:styleId="31">
    <w:name w:val="封面一致性程度标识"/>
    <w:basedOn w:val="32"/>
    <w:qFormat/>
    <w:uiPriority w:val="0"/>
    <w:pPr>
      <w:framePr/>
      <w:spacing w:before="440"/>
    </w:pPr>
    <w:rPr>
      <w:rFonts w:ascii="宋体" w:eastAsia="宋体"/>
    </w:rPr>
  </w:style>
  <w:style w:type="paragraph" w:customStyle="1" w:styleId="32">
    <w:name w:val="封面标准英文名称"/>
    <w:basedOn w:val="33"/>
    <w:qFormat/>
    <w:uiPriority w:val="0"/>
    <w:pPr>
      <w:framePr/>
      <w:spacing w:before="370" w:line="400" w:lineRule="exact"/>
    </w:pPr>
    <w:rPr>
      <w:rFonts w:ascii="Times New Roman"/>
      <w:sz w:val="28"/>
      <w:szCs w:val="28"/>
    </w:rPr>
  </w:style>
  <w:style w:type="paragraph" w:customStyle="1" w:styleId="33">
    <w:name w:val="封面标准名称"/>
    <w:qFormat/>
    <w:uiPriority w:val="0"/>
    <w:pPr>
      <w:framePr w:w="9639" w:h="6917" w:hRule="exact" w:wrap="around" w:vAnchor="page" w:hAnchor="page" w:xAlign="center" w:y="6408" w:anchorLock="1"/>
      <w:widowControl w:val="0"/>
      <w:spacing w:after="0" w:line="680" w:lineRule="exact"/>
      <w:jc w:val="center"/>
      <w:textAlignment w:val="center"/>
    </w:pPr>
    <w:rPr>
      <w:rFonts w:ascii="黑体" w:hAnsi="Times New Roman" w:eastAsia="黑体" w:cs="Times New Roman"/>
      <w:sz w:val="52"/>
      <w:lang w:val="en-US" w:eastAsia="zh-CN" w:bidi="ar-SA"/>
    </w:rPr>
  </w:style>
  <w:style w:type="paragraph" w:customStyle="1" w:styleId="34">
    <w:name w:val="封面标准文稿类别"/>
    <w:basedOn w:val="31"/>
    <w:qFormat/>
    <w:uiPriority w:val="0"/>
    <w:pPr>
      <w:framePr/>
      <w:spacing w:after="160" w:line="240" w:lineRule="auto"/>
    </w:pPr>
    <w:rPr>
      <w:sz w:val="24"/>
    </w:rPr>
  </w:style>
  <w:style w:type="paragraph" w:customStyle="1" w:styleId="35">
    <w:name w:val="封面标准文稿编辑信息"/>
    <w:basedOn w:val="34"/>
    <w:qFormat/>
    <w:uiPriority w:val="0"/>
    <w:pPr>
      <w:framePr/>
      <w:spacing w:before="180" w:line="180" w:lineRule="exact"/>
    </w:pPr>
    <w:rPr>
      <w:sz w:val="21"/>
    </w:rPr>
  </w:style>
  <w:style w:type="character" w:customStyle="1" w:styleId="36">
    <w:name w:val="标题 1 字符"/>
    <w:basedOn w:val="12"/>
    <w:link w:val="2"/>
    <w:qFormat/>
    <w:uiPriority w:val="9"/>
    <w:rPr>
      <w:rFonts w:ascii="Times New Roman" w:hAnsi="Times New Roman" w:eastAsia="宋体" w:cs="Times New Roman"/>
      <w:b/>
      <w:bCs/>
      <w:kern w:val="44"/>
      <w:sz w:val="44"/>
      <w:szCs w:val="44"/>
    </w:rPr>
  </w:style>
  <w:style w:type="paragraph" w:customStyle="1" w:styleId="37">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661</Words>
  <Characters>3774</Characters>
  <Lines>31</Lines>
  <Paragraphs>8</Paragraphs>
  <TotalTime>411</TotalTime>
  <ScaleCrop>false</ScaleCrop>
  <LinksUpToDate>false</LinksUpToDate>
  <CharactersWithSpaces>4427</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2024-08-15T22:34:00Z</dcterms:created>
  <dc:creator>kx</dc:creator>
  <cp:lastModifiedBy>朱坤</cp:lastModifiedBy>
  <dcterms:modified xsi:type="dcterms:W3CDTF">2024-11-05T09:57:49Z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0AFA31AA61BC44E193CE58C09CF195A0_13</vt:lpwstr>
  </property>
</Properties>
</file>